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2CC47FA3" w:rsidR="00321A19" w:rsidRDefault="00AE4F35" w:rsidP="008F59FC">
      <w:pPr>
        <w:pStyle w:val="OMBInfo"/>
      </w:pPr>
      <w:r>
        <w:t>OMB No. 0925-0001 and 0925-0002 (Rev. 10/15 Approved Through 10/31/2018)</w:t>
      </w:r>
    </w:p>
    <w:p w14:paraId="44A21DF0" w14:textId="77777777" w:rsidR="00AE4F35" w:rsidRDefault="00AE4F35" w:rsidP="00AE4F35">
      <w:pPr>
        <w:pStyle w:val="Title"/>
      </w:pPr>
      <w:r w:rsidRPr="00D825A1">
        <w:t>BIOGRAPHICAL</w:t>
      </w:r>
      <w:r>
        <w:t xml:space="preserve"> SKETCH</w:t>
      </w:r>
    </w:p>
    <w:p w14:paraId="1A6366EB" w14:textId="77777777" w:rsidR="00AE4F35" w:rsidRPr="00F7284D" w:rsidRDefault="00AE4F35" w:rsidP="00AE4F3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726FF9F8" w14:textId="4C186ACE" w:rsidR="00AE4F35" w:rsidRPr="00D51DC4" w:rsidRDefault="00AE4F35" w:rsidP="00AE4F35">
      <w:pPr>
        <w:pStyle w:val="FormFieldCaption1"/>
        <w:pBdr>
          <w:between w:val="single" w:sz="4" w:space="1" w:color="auto"/>
        </w:pBdr>
        <w:rPr>
          <w:sz w:val="32"/>
          <w:szCs w:val="20"/>
        </w:rPr>
      </w:pPr>
      <w:r w:rsidRPr="00D51DC4">
        <w:rPr>
          <w:sz w:val="22"/>
        </w:rPr>
        <w:t>NAME:</w:t>
      </w:r>
      <w:r w:rsidR="008F59FC">
        <w:rPr>
          <w:sz w:val="22"/>
        </w:rPr>
        <w:t xml:space="preserve"> </w:t>
      </w:r>
      <w:r w:rsidR="008F59FC" w:rsidRPr="008F59FC">
        <w:rPr>
          <w:b/>
          <w:sz w:val="22"/>
        </w:rPr>
        <w:t>DuPage, Michel J</w:t>
      </w:r>
      <w:r w:rsidR="008F59FC">
        <w:rPr>
          <w:b/>
          <w:sz w:val="22"/>
        </w:rPr>
        <w:t>.</w:t>
      </w:r>
    </w:p>
    <w:p w14:paraId="4CD58C90" w14:textId="1CE42D07" w:rsidR="00AE4F35" w:rsidRPr="00D51DC4" w:rsidRDefault="00AE4F35" w:rsidP="00AE4F3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r w:rsidR="008F59FC">
        <w:rPr>
          <w:sz w:val="22"/>
        </w:rPr>
        <w:t xml:space="preserve"> MDUPAGE</w:t>
      </w:r>
    </w:p>
    <w:p w14:paraId="377E58B0" w14:textId="21CD1C7B" w:rsidR="00AE4F35" w:rsidRPr="00D51DC4" w:rsidRDefault="00AE4F35" w:rsidP="00AE4F35">
      <w:pPr>
        <w:pStyle w:val="FormFieldCaption1"/>
        <w:pBdr>
          <w:between w:val="single" w:sz="4" w:space="1" w:color="auto"/>
        </w:pBdr>
        <w:rPr>
          <w:sz w:val="32"/>
        </w:rPr>
      </w:pPr>
      <w:r w:rsidRPr="00D51DC4">
        <w:rPr>
          <w:sz w:val="22"/>
        </w:rPr>
        <w:t>POSITION TITLE:</w:t>
      </w:r>
      <w:r w:rsidR="008F59FC">
        <w:rPr>
          <w:sz w:val="22"/>
        </w:rPr>
        <w:t xml:space="preserve">  </w:t>
      </w:r>
      <w:r w:rsidR="00C313FF">
        <w:rPr>
          <w:sz w:val="22"/>
        </w:rPr>
        <w:t>Assistant Professor</w:t>
      </w:r>
    </w:p>
    <w:p w14:paraId="35A6373E" w14:textId="4C30CF48" w:rsidR="00AE4F35" w:rsidRPr="00AE4F35" w:rsidRDefault="00AE4F35" w:rsidP="00AE4F35">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W w:w="10656" w:type="dxa"/>
        <w:jc w:val="center"/>
        <w:tblLayout w:type="fixed"/>
        <w:tblCellMar>
          <w:left w:w="115" w:type="dxa"/>
          <w:right w:w="115" w:type="dxa"/>
        </w:tblCellMar>
        <w:tblLook w:val="0000" w:firstRow="0" w:lastRow="0" w:firstColumn="0" w:lastColumn="0" w:noHBand="0" w:noVBand="0"/>
      </w:tblPr>
      <w:tblGrid>
        <w:gridCol w:w="5778"/>
        <w:gridCol w:w="1350"/>
        <w:gridCol w:w="1350"/>
        <w:gridCol w:w="2178"/>
      </w:tblGrid>
      <w:tr w:rsidR="0087232A" w14:paraId="4DF5C4A5" w14:textId="77777777" w:rsidTr="008F59FC">
        <w:trPr>
          <w:jc w:val="center"/>
        </w:trPr>
        <w:tc>
          <w:tcPr>
            <w:tcW w:w="5778" w:type="dxa"/>
            <w:tcBorders>
              <w:top w:val="single" w:sz="6" w:space="0" w:color="auto"/>
              <w:left w:val="nil"/>
              <w:bottom w:val="single" w:sz="6" w:space="0" w:color="auto"/>
              <w:right w:val="single" w:sz="6" w:space="0" w:color="auto"/>
            </w:tcBorders>
            <w:vAlign w:val="center"/>
          </w:tcPr>
          <w:p w14:paraId="4DF5C4A0" w14:textId="77777777" w:rsidR="0054471F" w:rsidRPr="00AE4F35" w:rsidRDefault="0054471F">
            <w:pPr>
              <w:pStyle w:val="FormFieldCaption"/>
              <w:jc w:val="center"/>
              <w:rPr>
                <w:sz w:val="22"/>
                <w:szCs w:val="22"/>
              </w:rPr>
            </w:pPr>
            <w:r w:rsidRPr="00AE4F35">
              <w:rPr>
                <w:sz w:val="22"/>
                <w:szCs w:val="22"/>
              </w:rPr>
              <w:t>INSTITUTION AND LOCATION</w:t>
            </w:r>
          </w:p>
        </w:tc>
        <w:tc>
          <w:tcPr>
            <w:tcW w:w="1350" w:type="dxa"/>
            <w:tcBorders>
              <w:top w:val="single" w:sz="6" w:space="0" w:color="auto"/>
              <w:left w:val="nil"/>
              <w:bottom w:val="single" w:sz="6" w:space="0" w:color="auto"/>
              <w:right w:val="single" w:sz="6" w:space="0" w:color="auto"/>
            </w:tcBorders>
            <w:vAlign w:val="center"/>
          </w:tcPr>
          <w:p w14:paraId="4DF5C4A1" w14:textId="77777777" w:rsidR="0054471F" w:rsidRPr="00AE4F35" w:rsidRDefault="0054471F">
            <w:pPr>
              <w:pStyle w:val="FormFieldCaption"/>
              <w:jc w:val="center"/>
              <w:rPr>
                <w:sz w:val="22"/>
                <w:szCs w:val="22"/>
              </w:rPr>
            </w:pPr>
            <w:r w:rsidRPr="00AE4F35">
              <w:rPr>
                <w:sz w:val="22"/>
                <w:szCs w:val="22"/>
              </w:rPr>
              <w:t>DEGREE</w:t>
            </w:r>
          </w:p>
          <w:p w14:paraId="4DF5C4A2" w14:textId="77777777" w:rsidR="0054471F" w:rsidRPr="008F59FC" w:rsidRDefault="0054471F">
            <w:pPr>
              <w:pStyle w:val="FormFieldCaption"/>
              <w:jc w:val="center"/>
              <w:rPr>
                <w:i/>
                <w:iCs/>
                <w:sz w:val="22"/>
                <w:szCs w:val="22"/>
              </w:rPr>
            </w:pPr>
            <w:r w:rsidRPr="008F59FC">
              <w:rPr>
                <w:i/>
                <w:iCs/>
                <w:sz w:val="22"/>
                <w:szCs w:val="22"/>
              </w:rPr>
              <w:t>(if applicable)</w:t>
            </w:r>
          </w:p>
        </w:tc>
        <w:tc>
          <w:tcPr>
            <w:tcW w:w="1350" w:type="dxa"/>
            <w:tcBorders>
              <w:top w:val="single" w:sz="6" w:space="0" w:color="auto"/>
              <w:left w:val="nil"/>
              <w:bottom w:val="single" w:sz="6" w:space="0" w:color="auto"/>
              <w:right w:val="single" w:sz="6" w:space="0" w:color="auto"/>
            </w:tcBorders>
            <w:vAlign w:val="center"/>
          </w:tcPr>
          <w:p w14:paraId="44109B08" w14:textId="77777777" w:rsidR="0054471F" w:rsidRDefault="008F59FC">
            <w:pPr>
              <w:pStyle w:val="FormFieldCaption"/>
              <w:jc w:val="center"/>
              <w:rPr>
                <w:sz w:val="22"/>
                <w:szCs w:val="22"/>
              </w:rPr>
            </w:pPr>
            <w:r w:rsidRPr="00D3779E">
              <w:rPr>
                <w:sz w:val="22"/>
              </w:rPr>
              <w:t>Completion Date</w:t>
            </w:r>
            <w:r w:rsidRPr="00AE4F35">
              <w:rPr>
                <w:sz w:val="22"/>
                <w:szCs w:val="22"/>
              </w:rPr>
              <w:t xml:space="preserve"> </w:t>
            </w:r>
            <w:r w:rsidR="0014571A" w:rsidRPr="00AE4F35">
              <w:rPr>
                <w:sz w:val="22"/>
                <w:szCs w:val="22"/>
              </w:rPr>
              <w:t>MM/</w:t>
            </w:r>
            <w:r w:rsidR="00AE4F35" w:rsidRPr="00AE4F35">
              <w:rPr>
                <w:sz w:val="22"/>
                <w:szCs w:val="22"/>
              </w:rPr>
              <w:t>YY</w:t>
            </w:r>
            <w:r w:rsidR="0014571A" w:rsidRPr="00AE4F35">
              <w:rPr>
                <w:sz w:val="22"/>
                <w:szCs w:val="22"/>
              </w:rPr>
              <w:t>YY</w:t>
            </w:r>
          </w:p>
          <w:p w14:paraId="4DF5C4A3" w14:textId="4239F248" w:rsidR="008F59FC" w:rsidRPr="00AE4F35" w:rsidRDefault="008F59FC">
            <w:pPr>
              <w:pStyle w:val="FormFieldCaption"/>
              <w:jc w:val="center"/>
              <w:rPr>
                <w:sz w:val="22"/>
                <w:szCs w:val="22"/>
              </w:rPr>
            </w:pPr>
          </w:p>
        </w:tc>
        <w:tc>
          <w:tcPr>
            <w:tcW w:w="2178" w:type="dxa"/>
            <w:tcBorders>
              <w:top w:val="single" w:sz="6" w:space="0" w:color="auto"/>
              <w:left w:val="single" w:sz="6" w:space="0" w:color="auto"/>
              <w:bottom w:val="single" w:sz="6" w:space="0" w:color="auto"/>
            </w:tcBorders>
            <w:vAlign w:val="center"/>
          </w:tcPr>
          <w:p w14:paraId="4DF5C4A4" w14:textId="77777777" w:rsidR="0054471F" w:rsidRPr="00AE4F35" w:rsidRDefault="0054471F">
            <w:pPr>
              <w:pStyle w:val="FormFieldCaption"/>
              <w:jc w:val="center"/>
              <w:rPr>
                <w:sz w:val="22"/>
                <w:szCs w:val="22"/>
              </w:rPr>
            </w:pPr>
            <w:r w:rsidRPr="00AE4F35">
              <w:rPr>
                <w:sz w:val="22"/>
                <w:szCs w:val="22"/>
              </w:rPr>
              <w:t>FIELD OF STUDY</w:t>
            </w:r>
          </w:p>
        </w:tc>
      </w:tr>
      <w:tr w:rsidR="0087232A" w14:paraId="4DF5C4AA" w14:textId="77777777" w:rsidTr="008F59FC">
        <w:trPr>
          <w:jc w:val="center"/>
        </w:trPr>
        <w:tc>
          <w:tcPr>
            <w:tcW w:w="5778" w:type="dxa"/>
            <w:tcBorders>
              <w:top w:val="single" w:sz="6" w:space="0" w:color="auto"/>
              <w:left w:val="nil"/>
              <w:bottom w:val="nil"/>
              <w:right w:val="single" w:sz="4" w:space="0" w:color="auto"/>
            </w:tcBorders>
            <w:vAlign w:val="center"/>
          </w:tcPr>
          <w:p w14:paraId="4DF5C4A6" w14:textId="72328E25" w:rsidR="00FF02D0" w:rsidRDefault="00FF02D0" w:rsidP="00FF02D0">
            <w:pPr>
              <w:pStyle w:val="DataField11pt-Single"/>
            </w:pPr>
          </w:p>
        </w:tc>
        <w:tc>
          <w:tcPr>
            <w:tcW w:w="1350" w:type="dxa"/>
            <w:tcBorders>
              <w:top w:val="single" w:sz="6" w:space="0" w:color="auto"/>
              <w:left w:val="single" w:sz="4" w:space="0" w:color="auto"/>
              <w:bottom w:val="nil"/>
              <w:right w:val="single" w:sz="4" w:space="0" w:color="auto"/>
            </w:tcBorders>
            <w:vAlign w:val="center"/>
          </w:tcPr>
          <w:p w14:paraId="4DF5C4A7" w14:textId="182F85F4" w:rsidR="00FF02D0" w:rsidRDefault="00FF02D0" w:rsidP="00FF02D0">
            <w:pPr>
              <w:pStyle w:val="DataField11pt-Single"/>
              <w:jc w:val="center"/>
            </w:pPr>
          </w:p>
        </w:tc>
        <w:tc>
          <w:tcPr>
            <w:tcW w:w="1350" w:type="dxa"/>
            <w:tcBorders>
              <w:top w:val="single" w:sz="6" w:space="0" w:color="auto"/>
              <w:left w:val="single" w:sz="4" w:space="0" w:color="auto"/>
              <w:bottom w:val="nil"/>
              <w:right w:val="single" w:sz="4" w:space="0" w:color="auto"/>
            </w:tcBorders>
            <w:vAlign w:val="center"/>
          </w:tcPr>
          <w:p w14:paraId="4DF5C4A8" w14:textId="3BFDF1BC" w:rsidR="00FF02D0" w:rsidRDefault="00FF02D0" w:rsidP="00FF02D0">
            <w:pPr>
              <w:pStyle w:val="DataField11pt-Single"/>
              <w:jc w:val="center"/>
            </w:pPr>
          </w:p>
        </w:tc>
        <w:tc>
          <w:tcPr>
            <w:tcW w:w="2178" w:type="dxa"/>
            <w:tcBorders>
              <w:top w:val="single" w:sz="6" w:space="0" w:color="auto"/>
              <w:left w:val="single" w:sz="4" w:space="0" w:color="auto"/>
              <w:bottom w:val="nil"/>
              <w:right w:val="nil"/>
            </w:tcBorders>
            <w:vAlign w:val="center"/>
          </w:tcPr>
          <w:p w14:paraId="4DF5C4A9" w14:textId="6D539EBF" w:rsidR="00FF02D0" w:rsidRDefault="00FF02D0" w:rsidP="00FF02D0">
            <w:pPr>
              <w:pStyle w:val="DataField11pt-Single"/>
            </w:pPr>
          </w:p>
        </w:tc>
      </w:tr>
      <w:tr w:rsidR="0087232A" w14:paraId="4DF5C4AF" w14:textId="77777777" w:rsidTr="008F59FC">
        <w:trPr>
          <w:jc w:val="center"/>
        </w:trPr>
        <w:tc>
          <w:tcPr>
            <w:tcW w:w="5778" w:type="dxa"/>
            <w:tcBorders>
              <w:top w:val="nil"/>
              <w:left w:val="nil"/>
              <w:bottom w:val="nil"/>
              <w:right w:val="single" w:sz="4" w:space="0" w:color="auto"/>
            </w:tcBorders>
          </w:tcPr>
          <w:p w14:paraId="4DF5C4AB" w14:textId="2AF69EE3" w:rsidR="003B724E" w:rsidRPr="0087232A" w:rsidRDefault="003B724E" w:rsidP="00FF02D0">
            <w:pPr>
              <w:pStyle w:val="DataField11pt-Single"/>
              <w:rPr>
                <w:szCs w:val="22"/>
              </w:rPr>
            </w:pPr>
            <w:r w:rsidRPr="0087232A">
              <w:rPr>
                <w:rFonts w:cs="Tahoma"/>
                <w:szCs w:val="22"/>
              </w:rPr>
              <w:t>University of California, Berkeley (CA)</w:t>
            </w:r>
          </w:p>
        </w:tc>
        <w:tc>
          <w:tcPr>
            <w:tcW w:w="1350" w:type="dxa"/>
            <w:tcBorders>
              <w:top w:val="nil"/>
              <w:left w:val="single" w:sz="4" w:space="0" w:color="auto"/>
              <w:bottom w:val="nil"/>
              <w:right w:val="single" w:sz="4" w:space="0" w:color="auto"/>
            </w:tcBorders>
          </w:tcPr>
          <w:p w14:paraId="4DF5C4AC" w14:textId="523A30AC" w:rsidR="003B724E" w:rsidRPr="0087232A" w:rsidRDefault="003B724E" w:rsidP="00FF02D0">
            <w:pPr>
              <w:pStyle w:val="DataField11pt-Single"/>
              <w:jc w:val="center"/>
              <w:rPr>
                <w:szCs w:val="22"/>
              </w:rPr>
            </w:pPr>
            <w:r w:rsidRPr="0087232A">
              <w:rPr>
                <w:rFonts w:cs="Tahoma"/>
                <w:szCs w:val="22"/>
              </w:rPr>
              <w:t>B.A.</w:t>
            </w:r>
          </w:p>
        </w:tc>
        <w:tc>
          <w:tcPr>
            <w:tcW w:w="1350" w:type="dxa"/>
            <w:tcBorders>
              <w:top w:val="nil"/>
              <w:left w:val="single" w:sz="4" w:space="0" w:color="auto"/>
              <w:bottom w:val="nil"/>
              <w:right w:val="single" w:sz="4" w:space="0" w:color="auto"/>
            </w:tcBorders>
          </w:tcPr>
          <w:p w14:paraId="4DF5C4AD" w14:textId="4487BF1F" w:rsidR="003B724E" w:rsidRPr="0087232A" w:rsidRDefault="003B724E" w:rsidP="00FF02D0">
            <w:pPr>
              <w:pStyle w:val="DataField11pt-Single"/>
              <w:jc w:val="center"/>
              <w:rPr>
                <w:szCs w:val="22"/>
              </w:rPr>
            </w:pPr>
            <w:r w:rsidRPr="0087232A">
              <w:rPr>
                <w:rFonts w:cs="Tahoma"/>
                <w:szCs w:val="22"/>
              </w:rPr>
              <w:t>05/</w:t>
            </w:r>
            <w:r w:rsidR="00AE4F35">
              <w:rPr>
                <w:rFonts w:cs="Tahoma"/>
                <w:szCs w:val="22"/>
              </w:rPr>
              <w:t>20</w:t>
            </w:r>
            <w:r w:rsidRPr="0087232A">
              <w:rPr>
                <w:rFonts w:cs="Tahoma"/>
                <w:szCs w:val="22"/>
              </w:rPr>
              <w:t>00</w:t>
            </w:r>
          </w:p>
        </w:tc>
        <w:tc>
          <w:tcPr>
            <w:tcW w:w="2178" w:type="dxa"/>
            <w:tcBorders>
              <w:top w:val="nil"/>
              <w:left w:val="single" w:sz="4" w:space="0" w:color="auto"/>
              <w:bottom w:val="nil"/>
              <w:right w:val="nil"/>
            </w:tcBorders>
          </w:tcPr>
          <w:p w14:paraId="6FBBEB65" w14:textId="77777777" w:rsidR="003B724E" w:rsidRPr="0087232A" w:rsidRDefault="003B724E" w:rsidP="00F77B57">
            <w:pPr>
              <w:pStyle w:val="DataField11pt-Single"/>
              <w:jc w:val="center"/>
              <w:rPr>
                <w:rFonts w:cs="Tahoma"/>
                <w:szCs w:val="22"/>
              </w:rPr>
            </w:pPr>
            <w:r w:rsidRPr="0087232A">
              <w:rPr>
                <w:rFonts w:cs="Tahoma"/>
                <w:szCs w:val="22"/>
              </w:rPr>
              <w:t>Genetics</w:t>
            </w:r>
          </w:p>
          <w:p w14:paraId="4DF5C4AE" w14:textId="0A2364C4" w:rsidR="003B724E" w:rsidRPr="0087232A" w:rsidRDefault="003B724E" w:rsidP="00F77B57">
            <w:pPr>
              <w:pStyle w:val="DataField11pt-Single"/>
              <w:jc w:val="center"/>
              <w:rPr>
                <w:szCs w:val="22"/>
              </w:rPr>
            </w:pPr>
          </w:p>
        </w:tc>
      </w:tr>
      <w:tr w:rsidR="0087232A" w14:paraId="4DF5C4B4" w14:textId="77777777" w:rsidTr="008F59FC">
        <w:trPr>
          <w:jc w:val="center"/>
        </w:trPr>
        <w:tc>
          <w:tcPr>
            <w:tcW w:w="5778" w:type="dxa"/>
            <w:tcBorders>
              <w:top w:val="nil"/>
              <w:left w:val="nil"/>
              <w:bottom w:val="nil"/>
              <w:right w:val="single" w:sz="4" w:space="0" w:color="auto"/>
            </w:tcBorders>
          </w:tcPr>
          <w:p w14:paraId="4DF5C4B0" w14:textId="0ADD6C01" w:rsidR="003B724E" w:rsidRPr="0087232A" w:rsidRDefault="003B724E" w:rsidP="00FF02D0">
            <w:pPr>
              <w:pStyle w:val="DataField11pt-Single"/>
              <w:rPr>
                <w:szCs w:val="22"/>
              </w:rPr>
            </w:pPr>
            <w:r w:rsidRPr="0087232A">
              <w:rPr>
                <w:rFonts w:cs="Tahoma"/>
                <w:szCs w:val="22"/>
              </w:rPr>
              <w:t>Massachusetts Institute of Technology, Cambridge (MA)</w:t>
            </w:r>
          </w:p>
        </w:tc>
        <w:tc>
          <w:tcPr>
            <w:tcW w:w="1350" w:type="dxa"/>
            <w:tcBorders>
              <w:top w:val="nil"/>
              <w:left w:val="single" w:sz="4" w:space="0" w:color="auto"/>
              <w:bottom w:val="nil"/>
              <w:right w:val="single" w:sz="4" w:space="0" w:color="auto"/>
            </w:tcBorders>
          </w:tcPr>
          <w:p w14:paraId="4DF5C4B1" w14:textId="6B8509B3" w:rsidR="003B724E" w:rsidRPr="0087232A" w:rsidRDefault="003B724E" w:rsidP="00FF02D0">
            <w:pPr>
              <w:pStyle w:val="DataField11pt-Single"/>
              <w:jc w:val="center"/>
              <w:rPr>
                <w:szCs w:val="22"/>
              </w:rPr>
            </w:pPr>
            <w:r w:rsidRPr="0087232A">
              <w:rPr>
                <w:rFonts w:cs="Tahoma"/>
                <w:szCs w:val="22"/>
              </w:rPr>
              <w:t>Ph.D.</w:t>
            </w:r>
          </w:p>
        </w:tc>
        <w:tc>
          <w:tcPr>
            <w:tcW w:w="1350" w:type="dxa"/>
            <w:tcBorders>
              <w:top w:val="nil"/>
              <w:left w:val="single" w:sz="4" w:space="0" w:color="auto"/>
              <w:bottom w:val="nil"/>
              <w:right w:val="single" w:sz="4" w:space="0" w:color="auto"/>
            </w:tcBorders>
          </w:tcPr>
          <w:p w14:paraId="4DF5C4B2" w14:textId="26BBF2F6" w:rsidR="003B724E" w:rsidRPr="0087232A" w:rsidRDefault="003B724E" w:rsidP="00FF02D0">
            <w:pPr>
              <w:pStyle w:val="DataField11pt-Single"/>
              <w:jc w:val="center"/>
              <w:rPr>
                <w:szCs w:val="22"/>
              </w:rPr>
            </w:pPr>
            <w:r w:rsidRPr="0087232A">
              <w:rPr>
                <w:rFonts w:cs="Tahoma"/>
                <w:szCs w:val="22"/>
              </w:rPr>
              <w:t>01/</w:t>
            </w:r>
            <w:r w:rsidR="00AE4F35">
              <w:rPr>
                <w:rFonts w:cs="Tahoma"/>
                <w:szCs w:val="22"/>
              </w:rPr>
              <w:t>20</w:t>
            </w:r>
            <w:r w:rsidRPr="0087232A">
              <w:rPr>
                <w:rFonts w:cs="Tahoma"/>
                <w:szCs w:val="22"/>
              </w:rPr>
              <w:t>11</w:t>
            </w:r>
          </w:p>
        </w:tc>
        <w:tc>
          <w:tcPr>
            <w:tcW w:w="2178" w:type="dxa"/>
            <w:tcBorders>
              <w:top w:val="nil"/>
              <w:left w:val="single" w:sz="4" w:space="0" w:color="auto"/>
              <w:bottom w:val="nil"/>
              <w:right w:val="nil"/>
            </w:tcBorders>
          </w:tcPr>
          <w:p w14:paraId="174265E0" w14:textId="77777777" w:rsidR="003B724E" w:rsidRPr="0087232A" w:rsidRDefault="003B724E" w:rsidP="00F77B57">
            <w:pPr>
              <w:pStyle w:val="DataField11pt-Single"/>
              <w:jc w:val="center"/>
              <w:rPr>
                <w:rFonts w:cs="Tahoma"/>
                <w:szCs w:val="22"/>
              </w:rPr>
            </w:pPr>
            <w:r w:rsidRPr="0087232A">
              <w:rPr>
                <w:rFonts w:cs="Tahoma"/>
                <w:szCs w:val="22"/>
              </w:rPr>
              <w:t>Cancer Biology</w:t>
            </w:r>
          </w:p>
          <w:p w14:paraId="4DF5C4B3" w14:textId="384C6B65" w:rsidR="003B724E" w:rsidRPr="0087232A" w:rsidRDefault="003B724E" w:rsidP="00F77B57">
            <w:pPr>
              <w:pStyle w:val="DataField11pt-Single"/>
              <w:jc w:val="center"/>
              <w:rPr>
                <w:szCs w:val="22"/>
              </w:rPr>
            </w:pPr>
          </w:p>
        </w:tc>
      </w:tr>
      <w:tr w:rsidR="0087232A" w14:paraId="4DF5C4B9" w14:textId="77777777" w:rsidTr="008F59FC">
        <w:trPr>
          <w:jc w:val="center"/>
        </w:trPr>
        <w:tc>
          <w:tcPr>
            <w:tcW w:w="5778" w:type="dxa"/>
            <w:tcBorders>
              <w:top w:val="nil"/>
              <w:left w:val="nil"/>
              <w:right w:val="single" w:sz="4" w:space="0" w:color="auto"/>
            </w:tcBorders>
          </w:tcPr>
          <w:p w14:paraId="4DF5C4B5" w14:textId="66C0DFF3" w:rsidR="003B724E" w:rsidRPr="0087232A" w:rsidRDefault="003B724E" w:rsidP="00D679E5">
            <w:pPr>
              <w:pStyle w:val="DataField11pt-Single"/>
              <w:rPr>
                <w:szCs w:val="22"/>
              </w:rPr>
            </w:pPr>
            <w:r w:rsidRPr="0087232A">
              <w:rPr>
                <w:rFonts w:cs="Tahoma"/>
                <w:szCs w:val="22"/>
              </w:rPr>
              <w:t>University of California, San Francisco (CA)</w:t>
            </w:r>
          </w:p>
        </w:tc>
        <w:tc>
          <w:tcPr>
            <w:tcW w:w="1350" w:type="dxa"/>
            <w:tcBorders>
              <w:top w:val="nil"/>
              <w:left w:val="single" w:sz="4" w:space="0" w:color="auto"/>
              <w:right w:val="single" w:sz="4" w:space="0" w:color="auto"/>
            </w:tcBorders>
          </w:tcPr>
          <w:p w14:paraId="4DF5C4B6" w14:textId="105C5A73" w:rsidR="003B724E" w:rsidRPr="0087232A" w:rsidRDefault="003B724E" w:rsidP="00D679E5">
            <w:pPr>
              <w:pStyle w:val="DataField11pt-Single"/>
              <w:jc w:val="center"/>
              <w:rPr>
                <w:szCs w:val="22"/>
              </w:rPr>
            </w:pPr>
            <w:r w:rsidRPr="0087232A">
              <w:rPr>
                <w:rFonts w:cs="Tahoma"/>
                <w:szCs w:val="22"/>
              </w:rPr>
              <w:t>Postdoc</w:t>
            </w:r>
          </w:p>
        </w:tc>
        <w:tc>
          <w:tcPr>
            <w:tcW w:w="1350" w:type="dxa"/>
            <w:tcBorders>
              <w:top w:val="nil"/>
              <w:left w:val="single" w:sz="4" w:space="0" w:color="auto"/>
              <w:right w:val="single" w:sz="4" w:space="0" w:color="auto"/>
            </w:tcBorders>
          </w:tcPr>
          <w:p w14:paraId="4DF5C4B7" w14:textId="25E4A12C" w:rsidR="003B724E" w:rsidRPr="0087232A" w:rsidRDefault="00553201" w:rsidP="00D679E5">
            <w:pPr>
              <w:pStyle w:val="DataField11pt-Single"/>
              <w:jc w:val="center"/>
              <w:rPr>
                <w:szCs w:val="22"/>
              </w:rPr>
            </w:pPr>
            <w:r>
              <w:rPr>
                <w:rFonts w:cs="Tahoma"/>
                <w:szCs w:val="22"/>
              </w:rPr>
              <w:t>06/2016</w:t>
            </w:r>
          </w:p>
        </w:tc>
        <w:tc>
          <w:tcPr>
            <w:tcW w:w="2178" w:type="dxa"/>
            <w:tcBorders>
              <w:top w:val="nil"/>
              <w:left w:val="single" w:sz="4" w:space="0" w:color="auto"/>
              <w:right w:val="nil"/>
            </w:tcBorders>
          </w:tcPr>
          <w:p w14:paraId="4DF5C4B8" w14:textId="17224139" w:rsidR="003B724E" w:rsidRPr="0087232A" w:rsidRDefault="003B724E" w:rsidP="00F77B57">
            <w:pPr>
              <w:pStyle w:val="DataField11pt-Single"/>
              <w:jc w:val="center"/>
              <w:rPr>
                <w:szCs w:val="22"/>
              </w:rPr>
            </w:pPr>
            <w:r w:rsidRPr="0087232A">
              <w:rPr>
                <w:rFonts w:cs="Tahoma"/>
                <w:szCs w:val="22"/>
              </w:rPr>
              <w:t>Immunology</w:t>
            </w:r>
          </w:p>
        </w:tc>
      </w:tr>
      <w:tr w:rsidR="0087232A" w14:paraId="543C1902" w14:textId="77777777" w:rsidTr="008F59FC">
        <w:trPr>
          <w:jc w:val="center"/>
        </w:trPr>
        <w:tc>
          <w:tcPr>
            <w:tcW w:w="5778" w:type="dxa"/>
            <w:tcBorders>
              <w:top w:val="nil"/>
              <w:left w:val="nil"/>
              <w:bottom w:val="single" w:sz="6" w:space="0" w:color="auto"/>
              <w:right w:val="single" w:sz="4" w:space="0" w:color="auto"/>
            </w:tcBorders>
            <w:vAlign w:val="center"/>
          </w:tcPr>
          <w:p w14:paraId="0E44BDE4" w14:textId="77777777" w:rsidR="00C313FF" w:rsidRDefault="00C313FF" w:rsidP="00D679E5">
            <w:pPr>
              <w:pStyle w:val="DataField11pt-Single"/>
            </w:pPr>
          </w:p>
        </w:tc>
        <w:tc>
          <w:tcPr>
            <w:tcW w:w="1350" w:type="dxa"/>
            <w:tcBorders>
              <w:top w:val="nil"/>
              <w:left w:val="single" w:sz="4" w:space="0" w:color="auto"/>
              <w:bottom w:val="single" w:sz="6" w:space="0" w:color="auto"/>
              <w:right w:val="single" w:sz="4" w:space="0" w:color="auto"/>
            </w:tcBorders>
            <w:vAlign w:val="center"/>
          </w:tcPr>
          <w:p w14:paraId="7E357EC2" w14:textId="77777777" w:rsidR="003B724E" w:rsidRDefault="003B724E" w:rsidP="00D679E5">
            <w:pPr>
              <w:pStyle w:val="DataField11pt-Single"/>
              <w:jc w:val="center"/>
            </w:pPr>
          </w:p>
        </w:tc>
        <w:tc>
          <w:tcPr>
            <w:tcW w:w="1350" w:type="dxa"/>
            <w:tcBorders>
              <w:top w:val="nil"/>
              <w:left w:val="single" w:sz="4" w:space="0" w:color="auto"/>
              <w:bottom w:val="single" w:sz="6" w:space="0" w:color="auto"/>
              <w:right w:val="single" w:sz="4" w:space="0" w:color="auto"/>
            </w:tcBorders>
            <w:vAlign w:val="center"/>
          </w:tcPr>
          <w:p w14:paraId="654CDBC0" w14:textId="77777777" w:rsidR="003B724E" w:rsidRDefault="003B724E" w:rsidP="00D679E5">
            <w:pPr>
              <w:pStyle w:val="DataField11pt-Single"/>
              <w:jc w:val="center"/>
            </w:pPr>
          </w:p>
        </w:tc>
        <w:tc>
          <w:tcPr>
            <w:tcW w:w="2178" w:type="dxa"/>
            <w:tcBorders>
              <w:top w:val="nil"/>
              <w:left w:val="single" w:sz="4" w:space="0" w:color="auto"/>
              <w:bottom w:val="single" w:sz="6" w:space="0" w:color="auto"/>
              <w:right w:val="nil"/>
            </w:tcBorders>
            <w:vAlign w:val="center"/>
          </w:tcPr>
          <w:p w14:paraId="50973794" w14:textId="77777777" w:rsidR="003B724E" w:rsidRDefault="003B724E" w:rsidP="00D679E5">
            <w:pPr>
              <w:pStyle w:val="DataField11pt-Single"/>
            </w:pPr>
          </w:p>
        </w:tc>
      </w:tr>
    </w:tbl>
    <w:p w14:paraId="4DF5C4C2" w14:textId="77777777" w:rsidR="00E67A05" w:rsidRPr="003949F8" w:rsidRDefault="00E67A05" w:rsidP="00AE4F35">
      <w:pPr>
        <w:pStyle w:val="Subtitle"/>
      </w:pPr>
      <w:r w:rsidRPr="003949F8">
        <w:t>A.</w:t>
      </w:r>
      <w:r w:rsidRPr="003949F8">
        <w:tab/>
        <w:t>Personal Statement</w:t>
      </w:r>
    </w:p>
    <w:p w14:paraId="545E9DF2" w14:textId="21EF1F8D" w:rsidR="00877B0F" w:rsidRDefault="00AE4F35" w:rsidP="00392BEC">
      <w:pPr>
        <w:pStyle w:val="BodyText"/>
        <w:rPr>
          <w:szCs w:val="22"/>
        </w:rPr>
      </w:pPr>
      <w:r>
        <w:rPr>
          <w:szCs w:val="22"/>
        </w:rPr>
        <w:t>The aim of my research is</w:t>
      </w:r>
      <w:r w:rsidR="00961313" w:rsidRPr="00AE4F35">
        <w:rPr>
          <w:szCs w:val="22"/>
        </w:rPr>
        <w:t xml:space="preserve"> </w:t>
      </w:r>
      <w:r>
        <w:rPr>
          <w:szCs w:val="22"/>
        </w:rPr>
        <w:t>t</w:t>
      </w:r>
      <w:r w:rsidRPr="00AE4F35">
        <w:rPr>
          <w:szCs w:val="22"/>
        </w:rPr>
        <w:t xml:space="preserve">o identify and target the mechanisms controlling </w:t>
      </w:r>
      <w:proofErr w:type="spellStart"/>
      <w:r w:rsidRPr="00AE4F35">
        <w:rPr>
          <w:szCs w:val="22"/>
        </w:rPr>
        <w:t>T</w:t>
      </w:r>
      <w:r w:rsidRPr="00AE4F35">
        <w:rPr>
          <w:szCs w:val="22"/>
          <w:vertAlign w:val="subscript"/>
        </w:rPr>
        <w:t>reg</w:t>
      </w:r>
      <w:proofErr w:type="spellEnd"/>
      <w:r w:rsidRPr="00AE4F35">
        <w:rPr>
          <w:szCs w:val="22"/>
        </w:rPr>
        <w:t xml:space="preserve"> reprogramming, establishing a new paradigm for modulating immune responses</w:t>
      </w:r>
      <w:r>
        <w:rPr>
          <w:szCs w:val="22"/>
        </w:rPr>
        <w:t xml:space="preserve"> to treat</w:t>
      </w:r>
      <w:r w:rsidRPr="00AE4F35">
        <w:rPr>
          <w:szCs w:val="22"/>
        </w:rPr>
        <w:t xml:space="preserve"> cancer and autoimmune disease.</w:t>
      </w:r>
      <w:r w:rsidR="008F59FC" w:rsidRPr="008F59FC">
        <w:rPr>
          <w:szCs w:val="22"/>
        </w:rPr>
        <w:t xml:space="preserve"> </w:t>
      </w:r>
      <w:r w:rsidR="00877B0F" w:rsidRPr="00961313">
        <w:rPr>
          <w:szCs w:val="22"/>
        </w:rPr>
        <w:t xml:space="preserve">As a Ph.D. candidate with </w:t>
      </w:r>
      <w:r w:rsidR="00877B0F" w:rsidRPr="00BF7F65">
        <w:rPr>
          <w:szCs w:val="22"/>
        </w:rPr>
        <w:t>Tyler Jacks at MIT</w:t>
      </w:r>
      <w:r w:rsidR="00877B0F" w:rsidRPr="00961313">
        <w:rPr>
          <w:szCs w:val="22"/>
        </w:rPr>
        <w:t>, I pioneered the investigation of immune responses to cancer in the laboratory. As a result of my ini</w:t>
      </w:r>
      <w:r w:rsidR="00877B0F">
        <w:rPr>
          <w:szCs w:val="22"/>
        </w:rPr>
        <w:t>tial efforts, the laboratory</w:t>
      </w:r>
      <w:r w:rsidR="00877B0F" w:rsidRPr="00961313">
        <w:rPr>
          <w:szCs w:val="22"/>
        </w:rPr>
        <w:t xml:space="preserve"> since expanded research in this area to 4 postdocs and 4 Ph.D. candidates. By recapitulating many of the physiologic attributes of the human disease, my studies revealed the context-dependent nature of immune-tumor interactions. Most importantly, my research was at the forefront of a transformation in thinking about the importance of tumor-specific neo-antigens both in the process of cancer </w:t>
      </w:r>
      <w:proofErr w:type="spellStart"/>
      <w:r w:rsidR="00877B0F" w:rsidRPr="00961313">
        <w:rPr>
          <w:szCs w:val="22"/>
        </w:rPr>
        <w:t>immunoediting</w:t>
      </w:r>
      <w:proofErr w:type="spellEnd"/>
      <w:r w:rsidR="00877B0F" w:rsidRPr="00961313">
        <w:rPr>
          <w:szCs w:val="22"/>
        </w:rPr>
        <w:t>, as well as for cancer immunotherapy</w:t>
      </w:r>
      <w:r w:rsidR="00877B0F">
        <w:rPr>
          <w:szCs w:val="22"/>
        </w:rPr>
        <w:t>.</w:t>
      </w:r>
      <w:r w:rsidR="00877B0F" w:rsidRPr="00877B0F">
        <w:rPr>
          <w:szCs w:val="22"/>
        </w:rPr>
        <w:t xml:space="preserve"> </w:t>
      </w:r>
      <w:r w:rsidR="00877B0F" w:rsidRPr="008F59FC">
        <w:rPr>
          <w:szCs w:val="22"/>
        </w:rPr>
        <w:t xml:space="preserve">As a postdoctoral fellow with </w:t>
      </w:r>
      <w:r w:rsidR="00877B0F" w:rsidRPr="00BF7F65">
        <w:rPr>
          <w:szCs w:val="22"/>
        </w:rPr>
        <w:t>Jeff Bluestone at UCSF</w:t>
      </w:r>
      <w:r w:rsidR="00877B0F" w:rsidRPr="008F59FC">
        <w:rPr>
          <w:szCs w:val="22"/>
        </w:rPr>
        <w:t>,</w:t>
      </w:r>
      <w:r w:rsidR="00877B0F" w:rsidRPr="008F59FC">
        <w:rPr>
          <w:b/>
          <w:szCs w:val="22"/>
        </w:rPr>
        <w:t xml:space="preserve"> </w:t>
      </w:r>
      <w:r w:rsidR="00877B0F">
        <w:rPr>
          <w:szCs w:val="22"/>
        </w:rPr>
        <w:t xml:space="preserve">I </w:t>
      </w:r>
      <w:r w:rsidR="00877B0F" w:rsidRPr="008F59FC">
        <w:rPr>
          <w:szCs w:val="22"/>
        </w:rPr>
        <w:t>spearheaded the investigation of epigenetic control of regulatory T cell (</w:t>
      </w:r>
      <w:proofErr w:type="spellStart"/>
      <w:r w:rsidR="00877B0F" w:rsidRPr="008F59FC">
        <w:rPr>
          <w:szCs w:val="22"/>
        </w:rPr>
        <w:t>T</w:t>
      </w:r>
      <w:r w:rsidR="00877B0F" w:rsidRPr="008F59FC">
        <w:rPr>
          <w:szCs w:val="22"/>
          <w:vertAlign w:val="subscript"/>
        </w:rPr>
        <w:t>reg</w:t>
      </w:r>
      <w:proofErr w:type="spellEnd"/>
      <w:r w:rsidR="00877B0F" w:rsidRPr="008F59FC">
        <w:rPr>
          <w:szCs w:val="22"/>
        </w:rPr>
        <w:t xml:space="preserve">) stability and function in </w:t>
      </w:r>
      <w:r w:rsidR="00877B0F">
        <w:rPr>
          <w:szCs w:val="22"/>
        </w:rPr>
        <w:t xml:space="preserve">the laboratory. My research </w:t>
      </w:r>
      <w:r w:rsidR="00877B0F" w:rsidRPr="008F59FC">
        <w:rPr>
          <w:szCs w:val="22"/>
        </w:rPr>
        <w:t xml:space="preserve">revealed how key extracellular cues sensed in the microenvironment impinge on </w:t>
      </w:r>
      <w:proofErr w:type="spellStart"/>
      <w:r w:rsidR="00877B0F" w:rsidRPr="008F59FC">
        <w:rPr>
          <w:szCs w:val="22"/>
        </w:rPr>
        <w:t>T</w:t>
      </w:r>
      <w:r w:rsidR="00877B0F" w:rsidRPr="008F59FC">
        <w:rPr>
          <w:szCs w:val="22"/>
          <w:vertAlign w:val="subscript"/>
        </w:rPr>
        <w:t>reg</w:t>
      </w:r>
      <w:proofErr w:type="spellEnd"/>
      <w:r w:rsidR="00877B0F" w:rsidRPr="008F59FC">
        <w:rPr>
          <w:szCs w:val="22"/>
        </w:rPr>
        <w:t xml:space="preserve"> homeostasis. </w:t>
      </w:r>
      <w:r w:rsidR="00877B0F">
        <w:rPr>
          <w:szCs w:val="22"/>
        </w:rPr>
        <w:t xml:space="preserve">By combining my experiences investigating T cell responses to cancer with my work identifying epigenetic contributions to the functional stability of </w:t>
      </w:r>
      <w:proofErr w:type="spellStart"/>
      <w:r w:rsidR="00877B0F">
        <w:rPr>
          <w:szCs w:val="22"/>
        </w:rPr>
        <w:t>T</w:t>
      </w:r>
      <w:r w:rsidR="00877B0F" w:rsidRPr="0059411B">
        <w:rPr>
          <w:szCs w:val="22"/>
          <w:vertAlign w:val="subscript"/>
        </w:rPr>
        <w:t>regs</w:t>
      </w:r>
      <w:proofErr w:type="spellEnd"/>
      <w:r w:rsidR="00877B0F">
        <w:rPr>
          <w:szCs w:val="22"/>
        </w:rPr>
        <w:t xml:space="preserve">, I am uniquely positioned to study how </w:t>
      </w:r>
      <w:proofErr w:type="spellStart"/>
      <w:r w:rsidR="00877B0F">
        <w:rPr>
          <w:szCs w:val="22"/>
        </w:rPr>
        <w:t>T</w:t>
      </w:r>
      <w:r w:rsidR="00877B0F" w:rsidRPr="00C46579">
        <w:rPr>
          <w:szCs w:val="22"/>
          <w:vertAlign w:val="subscript"/>
        </w:rPr>
        <w:t>reg</w:t>
      </w:r>
      <w:proofErr w:type="spellEnd"/>
      <w:r w:rsidR="00877B0F">
        <w:rPr>
          <w:szCs w:val="22"/>
        </w:rPr>
        <w:t xml:space="preserve"> homeostasis within distinct tissue microenvironments is altered by, and influences, immune-based disease.</w:t>
      </w:r>
    </w:p>
    <w:p w14:paraId="592D2A06" w14:textId="3B0F0F69" w:rsidR="00622C99" w:rsidRPr="00864AC9" w:rsidRDefault="00E3349A" w:rsidP="00864AC9">
      <w:pPr>
        <w:pStyle w:val="Subtitle"/>
      </w:pPr>
      <w:r>
        <w:t>B.</w:t>
      </w:r>
      <w:r>
        <w:tab/>
      </w:r>
      <w:r w:rsidR="00FF02D0" w:rsidRPr="00392BEC">
        <w:t xml:space="preserve">Positions </w:t>
      </w:r>
      <w:r w:rsidR="00392BEC">
        <w:t>and Honors</w:t>
      </w:r>
    </w:p>
    <w:tbl>
      <w:tblPr>
        <w:tblW w:w="10656" w:type="dxa"/>
        <w:jc w:val="center"/>
        <w:tblBorders>
          <w:top w:val="single" w:sz="6" w:space="0" w:color="auto"/>
          <w:insideV w:val="single" w:sz="6" w:space="0" w:color="auto"/>
        </w:tblBorders>
        <w:tblLayout w:type="fixed"/>
        <w:tblCellMar>
          <w:top w:w="14" w:type="dxa"/>
          <w:left w:w="43" w:type="dxa"/>
          <w:bottom w:w="14" w:type="dxa"/>
          <w:right w:w="43" w:type="dxa"/>
        </w:tblCellMar>
        <w:tblLook w:val="0020" w:firstRow="1" w:lastRow="0" w:firstColumn="0" w:lastColumn="0" w:noHBand="0" w:noVBand="0"/>
      </w:tblPr>
      <w:tblGrid>
        <w:gridCol w:w="2088"/>
        <w:gridCol w:w="986"/>
        <w:gridCol w:w="910"/>
        <w:gridCol w:w="1704"/>
        <w:gridCol w:w="2533"/>
        <w:gridCol w:w="2435"/>
      </w:tblGrid>
      <w:tr w:rsidR="00FF02D0" w:rsidRPr="00182D87" w14:paraId="681C2ED2" w14:textId="77777777" w:rsidTr="00B00C6B">
        <w:trPr>
          <w:cantSplit/>
          <w:trHeight w:val="259"/>
          <w:tblHeader/>
          <w:jc w:val="center"/>
        </w:trPr>
        <w:tc>
          <w:tcPr>
            <w:tcW w:w="2088" w:type="dxa"/>
            <w:tcBorders>
              <w:top w:val="single" w:sz="6" w:space="0" w:color="auto"/>
              <w:bottom w:val="single" w:sz="6" w:space="0" w:color="auto"/>
            </w:tcBorders>
            <w:tcMar>
              <w:top w:w="29" w:type="dxa"/>
            </w:tcMar>
            <w:vAlign w:val="center"/>
          </w:tcPr>
          <w:p w14:paraId="494E1A9D" w14:textId="77777777" w:rsidR="00FF02D0" w:rsidRPr="00182D87" w:rsidRDefault="00FF02D0" w:rsidP="00392BEC">
            <w:pPr>
              <w:pStyle w:val="FormFieldCaption"/>
              <w:jc w:val="center"/>
            </w:pPr>
            <w:r w:rsidRPr="00182D87">
              <w:t>ACTIVITY/OCCUPATION</w:t>
            </w:r>
          </w:p>
        </w:tc>
        <w:tc>
          <w:tcPr>
            <w:tcW w:w="986" w:type="dxa"/>
            <w:tcBorders>
              <w:top w:val="single" w:sz="6" w:space="0" w:color="auto"/>
              <w:bottom w:val="single" w:sz="6" w:space="0" w:color="auto"/>
            </w:tcBorders>
            <w:vAlign w:val="center"/>
          </w:tcPr>
          <w:p w14:paraId="545FE741" w14:textId="77777777" w:rsidR="00FF02D0" w:rsidRPr="00182D87" w:rsidRDefault="00FF02D0" w:rsidP="00392BEC">
            <w:pPr>
              <w:pStyle w:val="FormFieldCaption"/>
              <w:jc w:val="center"/>
            </w:pPr>
            <w:r w:rsidRPr="00182D87">
              <w:t>BEGINNING</w:t>
            </w:r>
            <w:r>
              <w:br w:type="textWrapping" w:clear="all"/>
            </w:r>
            <w:r w:rsidRPr="00182D87">
              <w:t>DATE (mm/</w:t>
            </w:r>
            <w:proofErr w:type="spellStart"/>
            <w:r w:rsidRPr="00182D87">
              <w:t>yy</w:t>
            </w:r>
            <w:proofErr w:type="spellEnd"/>
            <w:r w:rsidRPr="00182D87">
              <w:t>)</w:t>
            </w:r>
          </w:p>
        </w:tc>
        <w:tc>
          <w:tcPr>
            <w:tcW w:w="910" w:type="dxa"/>
            <w:tcBorders>
              <w:top w:val="single" w:sz="6" w:space="0" w:color="auto"/>
              <w:bottom w:val="single" w:sz="6" w:space="0" w:color="auto"/>
            </w:tcBorders>
            <w:vAlign w:val="center"/>
          </w:tcPr>
          <w:p w14:paraId="7E3789DE" w14:textId="77777777" w:rsidR="00FF02D0" w:rsidRPr="00182D87" w:rsidRDefault="00FF02D0" w:rsidP="00392BEC">
            <w:pPr>
              <w:pStyle w:val="FormFieldCaption"/>
              <w:jc w:val="center"/>
            </w:pPr>
            <w:r w:rsidRPr="00182D87">
              <w:t>ENDING</w:t>
            </w:r>
            <w:r>
              <w:br w:type="textWrapping" w:clear="all"/>
            </w:r>
            <w:r w:rsidRPr="00182D87">
              <w:t>DATE (mm/</w:t>
            </w:r>
            <w:proofErr w:type="spellStart"/>
            <w:r w:rsidRPr="00182D87">
              <w:t>yy</w:t>
            </w:r>
            <w:proofErr w:type="spellEnd"/>
            <w:r w:rsidRPr="00182D87">
              <w:t>)</w:t>
            </w:r>
          </w:p>
        </w:tc>
        <w:tc>
          <w:tcPr>
            <w:tcW w:w="1704" w:type="dxa"/>
            <w:tcBorders>
              <w:top w:val="single" w:sz="6" w:space="0" w:color="auto"/>
              <w:bottom w:val="single" w:sz="6" w:space="0" w:color="auto"/>
            </w:tcBorders>
            <w:vAlign w:val="center"/>
          </w:tcPr>
          <w:p w14:paraId="33B10103" w14:textId="77777777" w:rsidR="00FF02D0" w:rsidRPr="00182D87" w:rsidRDefault="00FF02D0" w:rsidP="00392BEC">
            <w:pPr>
              <w:pStyle w:val="FormFieldCaption"/>
              <w:jc w:val="center"/>
            </w:pPr>
            <w:r w:rsidRPr="00182D87">
              <w:t>FIELD</w:t>
            </w:r>
          </w:p>
        </w:tc>
        <w:tc>
          <w:tcPr>
            <w:tcW w:w="2533" w:type="dxa"/>
            <w:tcBorders>
              <w:top w:val="single" w:sz="6" w:space="0" w:color="auto"/>
              <w:bottom w:val="single" w:sz="6" w:space="0" w:color="auto"/>
            </w:tcBorders>
            <w:vAlign w:val="center"/>
          </w:tcPr>
          <w:p w14:paraId="28809134" w14:textId="77777777" w:rsidR="00FF02D0" w:rsidRPr="00182D87" w:rsidRDefault="00FF02D0" w:rsidP="00392BEC">
            <w:pPr>
              <w:pStyle w:val="FormFieldCaption"/>
              <w:jc w:val="center"/>
            </w:pPr>
            <w:r w:rsidRPr="00182D87">
              <w:t>INSTITUTION/COMPANY</w:t>
            </w:r>
          </w:p>
        </w:tc>
        <w:tc>
          <w:tcPr>
            <w:tcW w:w="2435" w:type="dxa"/>
            <w:tcBorders>
              <w:top w:val="single" w:sz="6" w:space="0" w:color="auto"/>
              <w:bottom w:val="single" w:sz="6" w:space="0" w:color="auto"/>
            </w:tcBorders>
            <w:vAlign w:val="center"/>
          </w:tcPr>
          <w:p w14:paraId="674F4BCF" w14:textId="77777777" w:rsidR="00FF02D0" w:rsidRPr="00182D87" w:rsidRDefault="00FF02D0" w:rsidP="00392BEC">
            <w:pPr>
              <w:pStyle w:val="FormFieldCaption"/>
              <w:jc w:val="center"/>
            </w:pPr>
            <w:r w:rsidRPr="00182D87">
              <w:t>SUPERVISOR/</w:t>
            </w:r>
            <w:r>
              <w:br w:type="textWrapping" w:clear="all"/>
            </w:r>
            <w:r w:rsidRPr="00182D87">
              <w:t>EMPLOYER</w:t>
            </w:r>
          </w:p>
        </w:tc>
      </w:tr>
      <w:tr w:rsidR="00FF02D0" w:rsidRPr="00182D87" w14:paraId="4C8452C3" w14:textId="77777777" w:rsidTr="00B00C6B">
        <w:trPr>
          <w:cantSplit/>
          <w:trHeight w:val="346"/>
          <w:jc w:val="center"/>
        </w:trPr>
        <w:tc>
          <w:tcPr>
            <w:tcW w:w="2088" w:type="dxa"/>
            <w:tcBorders>
              <w:top w:val="single" w:sz="6" w:space="0" w:color="auto"/>
            </w:tcBorders>
            <w:vAlign w:val="center"/>
          </w:tcPr>
          <w:p w14:paraId="3BB1D890" w14:textId="08DC70B0" w:rsidR="003B7A89" w:rsidRDefault="003B7A89" w:rsidP="003B724E">
            <w:pPr>
              <w:pStyle w:val="DataField"/>
            </w:pPr>
          </w:p>
          <w:p w14:paraId="30CDEA46" w14:textId="6E27D327" w:rsidR="003B7A89" w:rsidRDefault="003B7A89" w:rsidP="003B724E">
            <w:pPr>
              <w:pStyle w:val="DataField"/>
            </w:pPr>
            <w:r>
              <w:t>Research Associate</w:t>
            </w:r>
          </w:p>
          <w:p w14:paraId="46BDD52C" w14:textId="77777777" w:rsidR="003B7A89" w:rsidRDefault="003B7A89" w:rsidP="003B724E">
            <w:pPr>
              <w:pStyle w:val="DataField"/>
            </w:pPr>
          </w:p>
          <w:p w14:paraId="40BA4B7C" w14:textId="09F87EC5" w:rsidR="003B7A89" w:rsidRDefault="003B7A89" w:rsidP="003B724E">
            <w:pPr>
              <w:pStyle w:val="DataField"/>
            </w:pPr>
          </w:p>
          <w:p w14:paraId="45EEBBAC" w14:textId="0BDBCA9C" w:rsidR="003B7A89" w:rsidRDefault="003B7A89" w:rsidP="003B724E">
            <w:pPr>
              <w:pStyle w:val="DataField"/>
            </w:pPr>
            <w:r>
              <w:t>Research Associate</w:t>
            </w:r>
          </w:p>
          <w:p w14:paraId="1C3D1A57" w14:textId="00A29E6C" w:rsidR="00C313FF" w:rsidRPr="00182D87" w:rsidRDefault="00C313FF" w:rsidP="003B724E">
            <w:pPr>
              <w:pStyle w:val="DataField"/>
            </w:pPr>
          </w:p>
        </w:tc>
        <w:tc>
          <w:tcPr>
            <w:tcW w:w="986" w:type="dxa"/>
            <w:tcBorders>
              <w:top w:val="single" w:sz="6" w:space="0" w:color="auto"/>
            </w:tcBorders>
            <w:vAlign w:val="center"/>
          </w:tcPr>
          <w:p w14:paraId="58DF2C4C" w14:textId="60431559" w:rsidR="003B7A89" w:rsidRDefault="003B7A89" w:rsidP="003B724E">
            <w:pPr>
              <w:pStyle w:val="DataField"/>
              <w:jc w:val="center"/>
            </w:pPr>
            <w:r>
              <w:t>06/1999</w:t>
            </w:r>
          </w:p>
          <w:p w14:paraId="28E9112E" w14:textId="77777777" w:rsidR="003B7A89" w:rsidRDefault="003B7A89" w:rsidP="003B724E">
            <w:pPr>
              <w:pStyle w:val="DataField"/>
              <w:jc w:val="center"/>
            </w:pPr>
          </w:p>
          <w:p w14:paraId="1044D526" w14:textId="77777777" w:rsidR="003B7A89" w:rsidRDefault="003B7A89" w:rsidP="003B724E">
            <w:pPr>
              <w:pStyle w:val="DataField"/>
              <w:jc w:val="center"/>
            </w:pPr>
          </w:p>
          <w:p w14:paraId="6F282C3B" w14:textId="1D23F29B" w:rsidR="00FF02D0" w:rsidRPr="00295243" w:rsidRDefault="00622C99" w:rsidP="003B724E">
            <w:pPr>
              <w:pStyle w:val="DataField"/>
              <w:jc w:val="center"/>
            </w:pPr>
            <w:r>
              <w:t>09/</w:t>
            </w:r>
            <w:r w:rsidR="003B7A89">
              <w:t>20</w:t>
            </w:r>
            <w:r>
              <w:t>00</w:t>
            </w:r>
          </w:p>
        </w:tc>
        <w:tc>
          <w:tcPr>
            <w:tcW w:w="910" w:type="dxa"/>
            <w:tcBorders>
              <w:top w:val="single" w:sz="6" w:space="0" w:color="auto"/>
            </w:tcBorders>
            <w:vAlign w:val="center"/>
          </w:tcPr>
          <w:p w14:paraId="04B35207" w14:textId="0896DE5D" w:rsidR="003B7A89" w:rsidRDefault="003B7A89" w:rsidP="003B724E">
            <w:pPr>
              <w:pStyle w:val="DataField"/>
              <w:jc w:val="center"/>
            </w:pPr>
            <w:r>
              <w:t>09/1999</w:t>
            </w:r>
          </w:p>
          <w:p w14:paraId="66A150BA" w14:textId="77777777" w:rsidR="003B7A89" w:rsidRDefault="003B7A89" w:rsidP="003B724E">
            <w:pPr>
              <w:pStyle w:val="DataField"/>
              <w:jc w:val="center"/>
            </w:pPr>
          </w:p>
          <w:p w14:paraId="55A2CC7B" w14:textId="77777777" w:rsidR="003B7A89" w:rsidRDefault="003B7A89" w:rsidP="003B724E">
            <w:pPr>
              <w:pStyle w:val="DataField"/>
              <w:jc w:val="center"/>
            </w:pPr>
          </w:p>
          <w:p w14:paraId="7335CF36" w14:textId="071EF024" w:rsidR="00FF02D0" w:rsidRPr="00295243" w:rsidRDefault="00622C99" w:rsidP="003B724E">
            <w:pPr>
              <w:pStyle w:val="DataField"/>
              <w:jc w:val="center"/>
            </w:pPr>
            <w:r>
              <w:t>06/</w:t>
            </w:r>
            <w:r w:rsidR="003B7A89">
              <w:t>20</w:t>
            </w:r>
            <w:r>
              <w:t>03</w:t>
            </w:r>
          </w:p>
        </w:tc>
        <w:tc>
          <w:tcPr>
            <w:tcW w:w="1704" w:type="dxa"/>
            <w:tcBorders>
              <w:top w:val="single" w:sz="6" w:space="0" w:color="auto"/>
            </w:tcBorders>
            <w:vAlign w:val="center"/>
          </w:tcPr>
          <w:p w14:paraId="6E5E9807" w14:textId="228FEBA7" w:rsidR="003B7A89" w:rsidRDefault="003B7A89" w:rsidP="003B7A89">
            <w:pPr>
              <w:pStyle w:val="DataField"/>
              <w:jc w:val="center"/>
            </w:pPr>
            <w:r>
              <w:t>Genetics</w:t>
            </w:r>
          </w:p>
          <w:p w14:paraId="618B6D83" w14:textId="77777777" w:rsidR="003B7A89" w:rsidRDefault="003B7A89" w:rsidP="003B7A89">
            <w:pPr>
              <w:pStyle w:val="DataField"/>
              <w:jc w:val="center"/>
            </w:pPr>
          </w:p>
          <w:p w14:paraId="3CF52AD5" w14:textId="77777777" w:rsidR="003B7A89" w:rsidRDefault="003B7A89" w:rsidP="003B7A89">
            <w:pPr>
              <w:pStyle w:val="DataField"/>
              <w:jc w:val="center"/>
            </w:pPr>
          </w:p>
          <w:p w14:paraId="725B4D84" w14:textId="50156C81" w:rsidR="00FF02D0" w:rsidRPr="00295243" w:rsidRDefault="00622C99" w:rsidP="0087232A">
            <w:pPr>
              <w:pStyle w:val="DataField"/>
              <w:jc w:val="center"/>
            </w:pPr>
            <w:r>
              <w:t>Immunology</w:t>
            </w:r>
          </w:p>
        </w:tc>
        <w:tc>
          <w:tcPr>
            <w:tcW w:w="2533" w:type="dxa"/>
            <w:tcBorders>
              <w:top w:val="single" w:sz="6" w:space="0" w:color="auto"/>
            </w:tcBorders>
            <w:vAlign w:val="center"/>
          </w:tcPr>
          <w:p w14:paraId="3DFB3B4E" w14:textId="77777777" w:rsidR="003B7A89" w:rsidRDefault="003B7A89" w:rsidP="0087232A">
            <w:pPr>
              <w:pStyle w:val="DataField"/>
              <w:jc w:val="center"/>
            </w:pPr>
            <w:r>
              <w:t>University of California,</w:t>
            </w:r>
          </w:p>
          <w:p w14:paraId="06502B35" w14:textId="392D4B93" w:rsidR="003B7A89" w:rsidRDefault="003B7A89" w:rsidP="0087232A">
            <w:pPr>
              <w:pStyle w:val="DataField"/>
              <w:jc w:val="center"/>
            </w:pPr>
            <w:r>
              <w:t>Berkeley</w:t>
            </w:r>
          </w:p>
          <w:p w14:paraId="52A67A8C" w14:textId="77777777" w:rsidR="003B7A89" w:rsidRDefault="003B7A89" w:rsidP="003B7A89">
            <w:pPr>
              <w:pStyle w:val="DataField"/>
            </w:pPr>
          </w:p>
          <w:p w14:paraId="33B9A762" w14:textId="1334C4F3" w:rsidR="00FF02D0" w:rsidRPr="00295243" w:rsidRDefault="00622C99" w:rsidP="0087232A">
            <w:pPr>
              <w:pStyle w:val="DataField"/>
              <w:jc w:val="center"/>
            </w:pPr>
            <w:r>
              <w:t>Genentech, So. San Francisco (CA)</w:t>
            </w:r>
          </w:p>
        </w:tc>
        <w:tc>
          <w:tcPr>
            <w:tcW w:w="2435" w:type="dxa"/>
            <w:tcBorders>
              <w:top w:val="single" w:sz="6" w:space="0" w:color="auto"/>
            </w:tcBorders>
            <w:vAlign w:val="center"/>
          </w:tcPr>
          <w:p w14:paraId="6A1EF56D" w14:textId="19B92231" w:rsidR="003B7A89" w:rsidRDefault="003B7A89" w:rsidP="0087232A">
            <w:pPr>
              <w:pStyle w:val="DataField"/>
              <w:jc w:val="center"/>
            </w:pPr>
            <w:r>
              <w:t>Thomas W. Cline</w:t>
            </w:r>
          </w:p>
          <w:p w14:paraId="57B83E60" w14:textId="77777777" w:rsidR="003B7A89" w:rsidRDefault="003B7A89" w:rsidP="0087232A">
            <w:pPr>
              <w:pStyle w:val="DataField"/>
              <w:jc w:val="center"/>
            </w:pPr>
          </w:p>
          <w:p w14:paraId="2774CBDE" w14:textId="77777777" w:rsidR="003B7A89" w:rsidRDefault="003B7A89" w:rsidP="003B7A89">
            <w:pPr>
              <w:pStyle w:val="DataField"/>
            </w:pPr>
          </w:p>
          <w:p w14:paraId="745719C3" w14:textId="06F7CBCB" w:rsidR="00FF02D0" w:rsidRPr="00295243" w:rsidRDefault="00622C99" w:rsidP="0087232A">
            <w:pPr>
              <w:pStyle w:val="DataField"/>
              <w:jc w:val="center"/>
            </w:pPr>
            <w:r>
              <w:t>Andrew C. Chan</w:t>
            </w:r>
          </w:p>
        </w:tc>
      </w:tr>
      <w:tr w:rsidR="00FF02D0" w:rsidRPr="00182D87" w14:paraId="2C6507C6" w14:textId="77777777" w:rsidTr="00B00C6B">
        <w:trPr>
          <w:cantSplit/>
          <w:trHeight w:val="1056"/>
          <w:jc w:val="center"/>
        </w:trPr>
        <w:tc>
          <w:tcPr>
            <w:tcW w:w="2088" w:type="dxa"/>
            <w:vAlign w:val="center"/>
          </w:tcPr>
          <w:p w14:paraId="246F1014" w14:textId="77777777" w:rsidR="00B00C6B" w:rsidRDefault="00B00C6B" w:rsidP="00B00C6B">
            <w:pPr>
              <w:pStyle w:val="DataField"/>
            </w:pPr>
            <w:r>
              <w:lastRenderedPageBreak/>
              <w:t>Postdoctoral Fellow</w:t>
            </w:r>
          </w:p>
          <w:p w14:paraId="77F994B7" w14:textId="77777777" w:rsidR="00C313FF" w:rsidRDefault="00C313FF" w:rsidP="003B724E">
            <w:pPr>
              <w:pStyle w:val="DataField"/>
            </w:pPr>
          </w:p>
          <w:p w14:paraId="35F49F75" w14:textId="77777777" w:rsidR="00B00C6B" w:rsidRDefault="00B00C6B" w:rsidP="003B724E">
            <w:pPr>
              <w:pStyle w:val="DataField"/>
            </w:pPr>
          </w:p>
          <w:p w14:paraId="7E57CB59" w14:textId="6C6BDE80" w:rsidR="00C313FF" w:rsidRDefault="00B00C6B" w:rsidP="00B00C6B">
            <w:pPr>
              <w:pStyle w:val="DataField"/>
              <w:jc w:val="center"/>
            </w:pPr>
            <w:r>
              <w:t>Principal Investigator</w:t>
            </w:r>
          </w:p>
          <w:p w14:paraId="517105D5" w14:textId="0BC53072" w:rsidR="00C313FF" w:rsidRDefault="00C313FF" w:rsidP="003B724E">
            <w:pPr>
              <w:pStyle w:val="DataField"/>
            </w:pPr>
          </w:p>
          <w:p w14:paraId="7E365053" w14:textId="77777777" w:rsidR="00C313FF" w:rsidRDefault="00C313FF" w:rsidP="003B724E">
            <w:pPr>
              <w:pStyle w:val="DataField"/>
            </w:pPr>
          </w:p>
          <w:p w14:paraId="0B67E5AC" w14:textId="04B48BD3" w:rsidR="006D5C9A" w:rsidRPr="00182D87" w:rsidRDefault="006D5C9A" w:rsidP="003B724E">
            <w:pPr>
              <w:pStyle w:val="DataField"/>
            </w:pPr>
            <w:r>
              <w:t>Assistant Professor</w:t>
            </w:r>
          </w:p>
        </w:tc>
        <w:tc>
          <w:tcPr>
            <w:tcW w:w="986" w:type="dxa"/>
            <w:vAlign w:val="center"/>
          </w:tcPr>
          <w:p w14:paraId="5592C726" w14:textId="4E566D72" w:rsidR="00C313FF" w:rsidRDefault="003B7A89" w:rsidP="00C313FF">
            <w:pPr>
              <w:pStyle w:val="DataField"/>
            </w:pPr>
            <w:r>
              <w:t>06</w:t>
            </w:r>
            <w:r w:rsidR="00C313FF">
              <w:t>/</w:t>
            </w:r>
            <w:r>
              <w:t>20</w:t>
            </w:r>
            <w:r w:rsidR="00622C99">
              <w:t>11</w:t>
            </w:r>
          </w:p>
          <w:p w14:paraId="59A06661" w14:textId="77777777" w:rsidR="00C313FF" w:rsidRDefault="00C313FF" w:rsidP="00C313FF">
            <w:pPr>
              <w:pStyle w:val="DataField"/>
            </w:pPr>
          </w:p>
          <w:p w14:paraId="6A688D1F" w14:textId="77777777" w:rsidR="00C313FF" w:rsidRDefault="00C313FF" w:rsidP="00C313FF">
            <w:pPr>
              <w:pStyle w:val="DataField"/>
            </w:pPr>
          </w:p>
          <w:p w14:paraId="0D39231C" w14:textId="77777777" w:rsidR="00B00C6B" w:rsidRDefault="00B00C6B" w:rsidP="00C313FF">
            <w:pPr>
              <w:pStyle w:val="DataField"/>
            </w:pPr>
          </w:p>
          <w:p w14:paraId="1D64C0F2" w14:textId="77777777" w:rsidR="00C313FF" w:rsidRDefault="00C313FF" w:rsidP="003B724E">
            <w:pPr>
              <w:pStyle w:val="DataField"/>
              <w:jc w:val="center"/>
            </w:pPr>
            <w:r>
              <w:t>07/2016</w:t>
            </w:r>
          </w:p>
          <w:p w14:paraId="3D4ACC98" w14:textId="77777777" w:rsidR="006D5C9A" w:rsidRDefault="006D5C9A" w:rsidP="003B724E">
            <w:pPr>
              <w:pStyle w:val="DataField"/>
              <w:jc w:val="center"/>
            </w:pPr>
          </w:p>
          <w:p w14:paraId="7997C466" w14:textId="77777777" w:rsidR="006D5C9A" w:rsidRDefault="006D5C9A" w:rsidP="003B724E">
            <w:pPr>
              <w:pStyle w:val="DataField"/>
              <w:jc w:val="center"/>
            </w:pPr>
          </w:p>
          <w:p w14:paraId="2BE2C15D" w14:textId="64049CB8" w:rsidR="006D5C9A" w:rsidRPr="00295243" w:rsidRDefault="00B00C6B" w:rsidP="003B724E">
            <w:pPr>
              <w:pStyle w:val="DataField"/>
              <w:jc w:val="center"/>
            </w:pPr>
            <w:r>
              <w:t>07/2017</w:t>
            </w:r>
          </w:p>
        </w:tc>
        <w:tc>
          <w:tcPr>
            <w:tcW w:w="910" w:type="dxa"/>
            <w:vAlign w:val="center"/>
          </w:tcPr>
          <w:p w14:paraId="33AD6DEE" w14:textId="77777777" w:rsidR="00FF02D0" w:rsidRDefault="00C313FF" w:rsidP="00B00C6B">
            <w:pPr>
              <w:pStyle w:val="DataField"/>
            </w:pPr>
            <w:r>
              <w:t>06/2016</w:t>
            </w:r>
          </w:p>
          <w:p w14:paraId="1F5F06D3" w14:textId="77777777" w:rsidR="00C313FF" w:rsidRDefault="00C313FF" w:rsidP="003B724E">
            <w:pPr>
              <w:pStyle w:val="DataField"/>
              <w:jc w:val="center"/>
            </w:pPr>
          </w:p>
          <w:p w14:paraId="1B958B72" w14:textId="77777777" w:rsidR="00C313FF" w:rsidRDefault="00C313FF" w:rsidP="003B724E">
            <w:pPr>
              <w:pStyle w:val="DataField"/>
              <w:jc w:val="center"/>
            </w:pPr>
          </w:p>
          <w:p w14:paraId="53135022" w14:textId="77777777" w:rsidR="00C313FF" w:rsidRDefault="00C313FF" w:rsidP="003B724E">
            <w:pPr>
              <w:pStyle w:val="DataField"/>
              <w:jc w:val="center"/>
            </w:pPr>
          </w:p>
          <w:p w14:paraId="1FFD3DD9" w14:textId="77777777" w:rsidR="00C313FF" w:rsidRDefault="006D5C9A" w:rsidP="003B724E">
            <w:pPr>
              <w:pStyle w:val="DataField"/>
              <w:jc w:val="center"/>
            </w:pPr>
            <w:r>
              <w:t>06/2017</w:t>
            </w:r>
          </w:p>
          <w:p w14:paraId="513A831A" w14:textId="77777777" w:rsidR="00B00C6B" w:rsidRDefault="00B00C6B" w:rsidP="003B724E">
            <w:pPr>
              <w:pStyle w:val="DataField"/>
              <w:jc w:val="center"/>
            </w:pPr>
          </w:p>
          <w:p w14:paraId="4CC44B0B" w14:textId="77777777" w:rsidR="00B00C6B" w:rsidRDefault="00B00C6B" w:rsidP="003B724E">
            <w:pPr>
              <w:pStyle w:val="DataField"/>
              <w:jc w:val="center"/>
            </w:pPr>
          </w:p>
          <w:p w14:paraId="3520EA5F" w14:textId="217FD398" w:rsidR="00B00C6B" w:rsidRPr="00295243" w:rsidRDefault="00B00C6B" w:rsidP="003B724E">
            <w:pPr>
              <w:pStyle w:val="DataField"/>
              <w:jc w:val="center"/>
            </w:pPr>
            <w:r>
              <w:t>Current</w:t>
            </w:r>
          </w:p>
        </w:tc>
        <w:tc>
          <w:tcPr>
            <w:tcW w:w="1704" w:type="dxa"/>
            <w:vAlign w:val="center"/>
          </w:tcPr>
          <w:p w14:paraId="74B4023B" w14:textId="1AAB50B9" w:rsidR="00B00C6B" w:rsidRDefault="00B00C6B" w:rsidP="00B00C6B">
            <w:pPr>
              <w:pStyle w:val="DataField"/>
              <w:jc w:val="center"/>
            </w:pPr>
          </w:p>
          <w:p w14:paraId="7EBE7815" w14:textId="39448BD2" w:rsidR="00B00C6B" w:rsidRDefault="00B00C6B" w:rsidP="00B00C6B">
            <w:pPr>
              <w:pStyle w:val="DataField"/>
              <w:jc w:val="center"/>
            </w:pPr>
            <w:r>
              <w:t>Immunology</w:t>
            </w:r>
          </w:p>
          <w:p w14:paraId="2EB7EDF3" w14:textId="77777777" w:rsidR="00B00C6B" w:rsidRDefault="00B00C6B" w:rsidP="00B00C6B">
            <w:pPr>
              <w:pStyle w:val="DataField"/>
            </w:pPr>
          </w:p>
          <w:p w14:paraId="6097D90B" w14:textId="77777777" w:rsidR="00B00C6B" w:rsidRDefault="00B00C6B" w:rsidP="00B00C6B">
            <w:pPr>
              <w:pStyle w:val="DataField"/>
              <w:jc w:val="center"/>
            </w:pPr>
          </w:p>
          <w:p w14:paraId="7C2D1D69" w14:textId="77777777" w:rsidR="00B00C6B" w:rsidRDefault="00B00C6B" w:rsidP="00B00C6B">
            <w:pPr>
              <w:pStyle w:val="DataField"/>
              <w:jc w:val="center"/>
            </w:pPr>
            <w:r>
              <w:t>Cancer Immunotherapy</w:t>
            </w:r>
          </w:p>
          <w:p w14:paraId="30FC97EF" w14:textId="77777777" w:rsidR="00B00C6B" w:rsidRDefault="00B00C6B" w:rsidP="00B00C6B">
            <w:pPr>
              <w:pStyle w:val="DataField"/>
            </w:pPr>
          </w:p>
          <w:p w14:paraId="73F3873B" w14:textId="77777777" w:rsidR="00B00C6B" w:rsidRDefault="00B00C6B" w:rsidP="0087232A">
            <w:pPr>
              <w:pStyle w:val="DataField"/>
              <w:jc w:val="center"/>
            </w:pPr>
          </w:p>
          <w:p w14:paraId="4ACC1355" w14:textId="411C40EC" w:rsidR="00B00C6B" w:rsidRPr="00295243" w:rsidRDefault="00B00C6B" w:rsidP="0087232A">
            <w:pPr>
              <w:pStyle w:val="DataField"/>
              <w:jc w:val="center"/>
            </w:pPr>
            <w:r>
              <w:t>Immunology &amp; Pathogenesis</w:t>
            </w:r>
          </w:p>
        </w:tc>
        <w:tc>
          <w:tcPr>
            <w:tcW w:w="2533" w:type="dxa"/>
            <w:vAlign w:val="center"/>
          </w:tcPr>
          <w:p w14:paraId="2A4F96F1" w14:textId="77777777" w:rsidR="00B00C6B" w:rsidRDefault="00B00C6B" w:rsidP="0087232A">
            <w:pPr>
              <w:pStyle w:val="DataField"/>
              <w:jc w:val="center"/>
            </w:pPr>
          </w:p>
          <w:p w14:paraId="39DD52C8" w14:textId="77777777" w:rsidR="00B00C6B" w:rsidRDefault="00B00C6B" w:rsidP="00B00C6B">
            <w:pPr>
              <w:pStyle w:val="DataField"/>
              <w:jc w:val="center"/>
            </w:pPr>
            <w:r>
              <w:t>University of California, San Francisco</w:t>
            </w:r>
          </w:p>
          <w:p w14:paraId="02D3B5ED" w14:textId="77777777" w:rsidR="00B00C6B" w:rsidRDefault="00B00C6B" w:rsidP="0087232A">
            <w:pPr>
              <w:pStyle w:val="DataField"/>
              <w:jc w:val="center"/>
            </w:pPr>
          </w:p>
          <w:p w14:paraId="12DF2E36" w14:textId="77777777" w:rsidR="006D5C9A" w:rsidRDefault="006D5C9A" w:rsidP="0087232A">
            <w:pPr>
              <w:pStyle w:val="DataField"/>
              <w:jc w:val="center"/>
            </w:pPr>
            <w:r>
              <w:t>Parker Institute for Cancer Immunotherapy, UCSF</w:t>
            </w:r>
          </w:p>
          <w:p w14:paraId="16FC75EE" w14:textId="77777777" w:rsidR="00B00C6B" w:rsidRDefault="00B00C6B" w:rsidP="0087232A">
            <w:pPr>
              <w:pStyle w:val="DataField"/>
              <w:jc w:val="center"/>
            </w:pPr>
          </w:p>
          <w:p w14:paraId="120E6F09" w14:textId="6E44FAA8" w:rsidR="00B00C6B" w:rsidRPr="00295243" w:rsidRDefault="00B00C6B" w:rsidP="00B00C6B">
            <w:pPr>
              <w:pStyle w:val="DataField"/>
              <w:jc w:val="center"/>
            </w:pPr>
            <w:r>
              <w:t>University of California, Berkeley</w:t>
            </w:r>
          </w:p>
        </w:tc>
        <w:tc>
          <w:tcPr>
            <w:tcW w:w="2435" w:type="dxa"/>
            <w:vAlign w:val="center"/>
          </w:tcPr>
          <w:p w14:paraId="02FCC3EA" w14:textId="77777777" w:rsidR="00B00C6B" w:rsidRDefault="00B00C6B" w:rsidP="00B00C6B">
            <w:pPr>
              <w:pStyle w:val="DataField"/>
              <w:jc w:val="center"/>
            </w:pPr>
          </w:p>
          <w:p w14:paraId="7BF6B21D" w14:textId="77777777" w:rsidR="00B00C6B" w:rsidRDefault="00B00C6B" w:rsidP="00B00C6B">
            <w:pPr>
              <w:pStyle w:val="DataField"/>
            </w:pPr>
            <w:r>
              <w:t xml:space="preserve"> </w:t>
            </w:r>
          </w:p>
          <w:p w14:paraId="66090474" w14:textId="421C0489" w:rsidR="00B00C6B" w:rsidRDefault="00B00C6B" w:rsidP="00B00C6B">
            <w:pPr>
              <w:pStyle w:val="DataField"/>
              <w:jc w:val="center"/>
            </w:pPr>
            <w:r>
              <w:t>Jeffrey A. Bluestone</w:t>
            </w:r>
          </w:p>
          <w:p w14:paraId="6EEFA10F" w14:textId="0860ABFB" w:rsidR="006D5C9A" w:rsidRDefault="006D5C9A" w:rsidP="00C313FF">
            <w:pPr>
              <w:pStyle w:val="DataField"/>
              <w:jc w:val="center"/>
            </w:pPr>
          </w:p>
          <w:p w14:paraId="7A02B96D" w14:textId="77777777" w:rsidR="006D5C9A" w:rsidRDefault="006D5C9A" w:rsidP="00C313FF">
            <w:pPr>
              <w:pStyle w:val="DataField"/>
              <w:jc w:val="center"/>
            </w:pPr>
          </w:p>
          <w:p w14:paraId="6750FF02" w14:textId="77777777" w:rsidR="006D5C9A" w:rsidRDefault="006D5C9A" w:rsidP="00B00C6B">
            <w:pPr>
              <w:pStyle w:val="DataField"/>
              <w:jc w:val="center"/>
            </w:pPr>
            <w:r>
              <w:t>Lewis Lanier, Dept. of Microbiology &amp; Immunology</w:t>
            </w:r>
          </w:p>
          <w:p w14:paraId="2953D2DC" w14:textId="77777777" w:rsidR="00B00C6B" w:rsidRDefault="00B00C6B" w:rsidP="00C313FF">
            <w:pPr>
              <w:pStyle w:val="DataField"/>
              <w:jc w:val="center"/>
            </w:pPr>
          </w:p>
          <w:p w14:paraId="4EC666DD" w14:textId="0FCD0151" w:rsidR="00B00C6B" w:rsidRPr="00295243" w:rsidRDefault="00B00C6B" w:rsidP="00C313FF">
            <w:pPr>
              <w:pStyle w:val="DataField"/>
              <w:jc w:val="center"/>
            </w:pPr>
            <w:r>
              <w:t xml:space="preserve">David </w:t>
            </w:r>
            <w:proofErr w:type="spellStart"/>
            <w:r>
              <w:t>Drubin</w:t>
            </w:r>
            <w:proofErr w:type="spellEnd"/>
            <w:r>
              <w:t>, Dept. of Molecular &amp; Cell Biology</w:t>
            </w:r>
          </w:p>
        </w:tc>
      </w:tr>
    </w:tbl>
    <w:p w14:paraId="0AC10065" w14:textId="3C9368D7" w:rsidR="00215CA3" w:rsidRPr="00622C99" w:rsidRDefault="00961313" w:rsidP="00392BEC">
      <w:pPr>
        <w:pStyle w:val="Subtitle2"/>
      </w:pPr>
      <w:r w:rsidRPr="00914E60">
        <w:t>Academic and Professional Honors</w:t>
      </w:r>
    </w:p>
    <w:p w14:paraId="1F5946C2" w14:textId="77777777" w:rsidR="00546D35" w:rsidRPr="000A6EBD" w:rsidRDefault="00546D35" w:rsidP="00961313">
      <w:pPr>
        <w:spacing w:before="120"/>
        <w:ind w:left="-965" w:right="-720" w:firstLine="965"/>
        <w:rPr>
          <w:szCs w:val="22"/>
        </w:rPr>
      </w:pPr>
      <w:r w:rsidRPr="000A6EBD">
        <w:rPr>
          <w:szCs w:val="22"/>
        </w:rPr>
        <w:t>1996 – 2000</w:t>
      </w:r>
      <w:r w:rsidRPr="000A6EBD">
        <w:rPr>
          <w:szCs w:val="22"/>
        </w:rPr>
        <w:tab/>
        <w:t>Robert C. Byrd Honors Scholarship recipient</w:t>
      </w:r>
    </w:p>
    <w:p w14:paraId="7024DDFC" w14:textId="675A9102" w:rsidR="00546D35" w:rsidRPr="00961313" w:rsidRDefault="00546D35" w:rsidP="00961313">
      <w:pPr>
        <w:ind w:left="-960" w:right="-720" w:firstLine="960"/>
        <w:rPr>
          <w:rFonts w:cs="Tahoma"/>
          <w:b/>
          <w:szCs w:val="22"/>
        </w:rPr>
      </w:pPr>
      <w:r w:rsidRPr="000A6EBD">
        <w:rPr>
          <w:szCs w:val="22"/>
        </w:rPr>
        <w:t>1997 – 2000</w:t>
      </w:r>
      <w:r w:rsidRPr="000A6EBD">
        <w:rPr>
          <w:szCs w:val="22"/>
        </w:rPr>
        <w:tab/>
        <w:t>Golden Key National Honor Society</w:t>
      </w:r>
    </w:p>
    <w:p w14:paraId="51650CD3" w14:textId="77777777" w:rsidR="00546D35" w:rsidRDefault="00546D35" w:rsidP="00546D35">
      <w:pPr>
        <w:ind w:left="-960" w:right="-720" w:firstLine="960"/>
        <w:rPr>
          <w:szCs w:val="22"/>
        </w:rPr>
      </w:pPr>
      <w:r w:rsidRPr="000A6EBD">
        <w:rPr>
          <w:szCs w:val="22"/>
        </w:rPr>
        <w:t>2000 – pres.</w:t>
      </w:r>
      <w:r w:rsidRPr="000A6EBD">
        <w:rPr>
          <w:szCs w:val="22"/>
        </w:rPr>
        <w:tab/>
        <w:t>Phi Beta Kappa Society</w:t>
      </w:r>
    </w:p>
    <w:p w14:paraId="1879E600" w14:textId="17795389" w:rsidR="00961313" w:rsidRPr="000A6EBD" w:rsidRDefault="00961313" w:rsidP="00546D35">
      <w:pPr>
        <w:ind w:left="-960" w:right="-720" w:firstLine="960"/>
        <w:rPr>
          <w:szCs w:val="22"/>
        </w:rPr>
      </w:pPr>
      <w:r w:rsidRPr="000A6EBD">
        <w:rPr>
          <w:szCs w:val="22"/>
        </w:rPr>
        <w:t>1999 – 2000</w:t>
      </w:r>
      <w:r w:rsidRPr="000A6EBD">
        <w:rPr>
          <w:szCs w:val="22"/>
        </w:rPr>
        <w:tab/>
        <w:t>Honors Undergraduate Research in Molecular and Cell Biology</w:t>
      </w:r>
    </w:p>
    <w:p w14:paraId="2CA9D34B" w14:textId="174CAE3B" w:rsidR="00546D35" w:rsidRPr="000A6EBD" w:rsidRDefault="00546D35" w:rsidP="00546D35">
      <w:pPr>
        <w:ind w:left="-960" w:right="-720" w:firstLine="960"/>
        <w:rPr>
          <w:szCs w:val="22"/>
        </w:rPr>
      </w:pPr>
      <w:r w:rsidRPr="000A6EBD">
        <w:rPr>
          <w:szCs w:val="22"/>
        </w:rPr>
        <w:t>2000</w:t>
      </w:r>
      <w:r w:rsidRPr="000A6EBD">
        <w:rPr>
          <w:szCs w:val="22"/>
        </w:rPr>
        <w:tab/>
      </w:r>
      <w:r w:rsidRPr="000A6EBD">
        <w:rPr>
          <w:szCs w:val="22"/>
        </w:rPr>
        <w:tab/>
      </w:r>
      <w:r w:rsidR="00622C99" w:rsidRPr="000A6EBD">
        <w:rPr>
          <w:szCs w:val="22"/>
        </w:rPr>
        <w:tab/>
      </w:r>
      <w:r w:rsidRPr="000A6EBD">
        <w:rPr>
          <w:szCs w:val="22"/>
        </w:rPr>
        <w:t>Outstanding Scholar (1</w:t>
      </w:r>
      <w:r w:rsidRPr="000A6EBD">
        <w:rPr>
          <w:szCs w:val="22"/>
          <w:vertAlign w:val="superscript"/>
        </w:rPr>
        <w:t>st</w:t>
      </w:r>
      <w:r w:rsidRPr="000A6EBD">
        <w:rPr>
          <w:szCs w:val="22"/>
        </w:rPr>
        <w:t xml:space="preserve"> in class) of the Department of Molecular and Cell Biology, UC Berkeley</w:t>
      </w:r>
    </w:p>
    <w:p w14:paraId="0A1BB985" w14:textId="693D1780" w:rsidR="00546D35" w:rsidRPr="000A6EBD" w:rsidRDefault="00546D35" w:rsidP="00546D35">
      <w:pPr>
        <w:ind w:left="-960" w:right="-720" w:firstLine="960"/>
        <w:rPr>
          <w:color w:val="000000"/>
          <w:szCs w:val="22"/>
        </w:rPr>
      </w:pPr>
      <w:r w:rsidRPr="000A6EBD">
        <w:rPr>
          <w:color w:val="000000"/>
          <w:szCs w:val="22"/>
        </w:rPr>
        <w:t>2</w:t>
      </w:r>
      <w:r w:rsidR="00622C99" w:rsidRPr="000A6EBD">
        <w:rPr>
          <w:color w:val="000000"/>
          <w:szCs w:val="22"/>
        </w:rPr>
        <w:t>003 – 2004</w:t>
      </w:r>
      <w:r w:rsidR="00622C99" w:rsidRPr="000A6EBD">
        <w:rPr>
          <w:color w:val="000000"/>
          <w:szCs w:val="22"/>
        </w:rPr>
        <w:tab/>
      </w:r>
      <w:proofErr w:type="spellStart"/>
      <w:r w:rsidR="00622C99" w:rsidRPr="000A6EBD">
        <w:rPr>
          <w:color w:val="000000"/>
          <w:szCs w:val="22"/>
        </w:rPr>
        <w:t>Dupont</w:t>
      </w:r>
      <w:proofErr w:type="spellEnd"/>
      <w:r w:rsidR="00622C99" w:rsidRPr="000A6EBD">
        <w:rPr>
          <w:color w:val="000000"/>
          <w:szCs w:val="22"/>
        </w:rPr>
        <w:t xml:space="preserve"> MIT Alliance F</w:t>
      </w:r>
      <w:r w:rsidRPr="000A6EBD">
        <w:rPr>
          <w:color w:val="000000"/>
          <w:szCs w:val="22"/>
        </w:rPr>
        <w:t>ellow</w:t>
      </w:r>
    </w:p>
    <w:p w14:paraId="64A8CB8D" w14:textId="77777777" w:rsidR="00546D35" w:rsidRPr="000A6EBD" w:rsidRDefault="00546D35" w:rsidP="00546D35">
      <w:pPr>
        <w:ind w:left="-960" w:right="-720" w:firstLine="960"/>
        <w:rPr>
          <w:rFonts w:cs="Tahoma"/>
          <w:szCs w:val="22"/>
        </w:rPr>
      </w:pPr>
      <w:r w:rsidRPr="000A6EBD">
        <w:rPr>
          <w:color w:val="000000"/>
          <w:szCs w:val="22"/>
        </w:rPr>
        <w:t>2006 – 2007</w:t>
      </w:r>
      <w:r w:rsidRPr="000A6EBD">
        <w:rPr>
          <w:color w:val="000000"/>
          <w:szCs w:val="22"/>
        </w:rPr>
        <w:tab/>
        <w:t>Margaret A. Cunningham Immune Mechanisms in Cancer Fellowship</w:t>
      </w:r>
    </w:p>
    <w:p w14:paraId="7DBE3E2B" w14:textId="064211B0" w:rsidR="0022536E" w:rsidRPr="000A6EBD" w:rsidRDefault="00546D35" w:rsidP="00FF5318">
      <w:pPr>
        <w:pStyle w:val="BodyText"/>
        <w:spacing w:after="0"/>
        <w:rPr>
          <w:color w:val="000000"/>
          <w:szCs w:val="22"/>
        </w:rPr>
      </w:pPr>
      <w:r w:rsidRPr="000A6EBD">
        <w:rPr>
          <w:color w:val="000000"/>
          <w:szCs w:val="22"/>
        </w:rPr>
        <w:t>2011 – 2013</w:t>
      </w:r>
      <w:r w:rsidRPr="000A6EBD">
        <w:rPr>
          <w:color w:val="000000"/>
          <w:szCs w:val="22"/>
        </w:rPr>
        <w:tab/>
      </w:r>
      <w:r w:rsidR="00FF5318">
        <w:rPr>
          <w:color w:val="000000"/>
        </w:rPr>
        <w:t xml:space="preserve">Ruth L. </w:t>
      </w:r>
      <w:proofErr w:type="spellStart"/>
      <w:r w:rsidR="00FF5318">
        <w:rPr>
          <w:color w:val="000000"/>
        </w:rPr>
        <w:t>Kirschstein</w:t>
      </w:r>
      <w:proofErr w:type="spellEnd"/>
      <w:r w:rsidR="00FF5318">
        <w:rPr>
          <w:color w:val="000000"/>
        </w:rPr>
        <w:t xml:space="preserve"> Institutional National Research Service Award (T32)</w:t>
      </w:r>
    </w:p>
    <w:p w14:paraId="73C4C1F5" w14:textId="0FA62362" w:rsidR="00622C99" w:rsidRDefault="00622C99" w:rsidP="006D5C9A">
      <w:pPr>
        <w:pStyle w:val="BodyText"/>
        <w:spacing w:after="0"/>
        <w:rPr>
          <w:color w:val="000000"/>
          <w:szCs w:val="22"/>
        </w:rPr>
      </w:pPr>
      <w:r w:rsidRPr="000A6EBD">
        <w:rPr>
          <w:color w:val="000000"/>
          <w:szCs w:val="22"/>
        </w:rPr>
        <w:t xml:space="preserve">2013 – </w:t>
      </w:r>
      <w:r w:rsidR="006D5C9A">
        <w:rPr>
          <w:color w:val="000000"/>
          <w:szCs w:val="22"/>
        </w:rPr>
        <w:t>2016</w:t>
      </w:r>
      <w:r w:rsidRPr="000A6EBD">
        <w:rPr>
          <w:color w:val="000000"/>
          <w:szCs w:val="22"/>
        </w:rPr>
        <w:t xml:space="preserve"> </w:t>
      </w:r>
      <w:r w:rsidRPr="000A6EBD">
        <w:rPr>
          <w:color w:val="000000"/>
          <w:szCs w:val="22"/>
        </w:rPr>
        <w:tab/>
        <w:t>Helen Hay</w:t>
      </w:r>
      <w:r w:rsidR="006D5C9A">
        <w:rPr>
          <w:color w:val="000000"/>
          <w:szCs w:val="22"/>
        </w:rPr>
        <w:t xml:space="preserve"> Whitney Foundation Postdoctoral Fellow</w:t>
      </w:r>
    </w:p>
    <w:p w14:paraId="1F73CA04" w14:textId="6E08EEC6" w:rsidR="006D5C9A" w:rsidRPr="000A6EBD" w:rsidRDefault="006D5C9A" w:rsidP="00546D35">
      <w:pPr>
        <w:pStyle w:val="BodyText"/>
        <w:rPr>
          <w:szCs w:val="22"/>
        </w:rPr>
      </w:pPr>
      <w:r>
        <w:rPr>
          <w:color w:val="000000"/>
          <w:szCs w:val="22"/>
        </w:rPr>
        <w:t>2016 – 2017</w:t>
      </w:r>
      <w:r>
        <w:rPr>
          <w:color w:val="000000"/>
          <w:szCs w:val="22"/>
        </w:rPr>
        <w:tab/>
        <w:t>Parker Institute for Cancer Immunotherapy Fellow</w:t>
      </w:r>
    </w:p>
    <w:p w14:paraId="47775E5F" w14:textId="4C5D0FB9" w:rsidR="003A2DC5" w:rsidRDefault="00E3349A" w:rsidP="00AE4F35">
      <w:pPr>
        <w:pStyle w:val="Subtitle"/>
      </w:pPr>
      <w:r>
        <w:t>C.</w:t>
      </w:r>
      <w:r>
        <w:tab/>
      </w:r>
      <w:r w:rsidR="00AE4F35">
        <w:t>Contribution to Science</w:t>
      </w:r>
    </w:p>
    <w:p w14:paraId="5870679B" w14:textId="2C1F2D2C" w:rsidR="00877B0F" w:rsidRPr="008F4999" w:rsidRDefault="00877B0F" w:rsidP="00877B0F">
      <w:pPr>
        <w:pStyle w:val="ListParagraph"/>
        <w:numPr>
          <w:ilvl w:val="0"/>
          <w:numId w:val="20"/>
        </w:numPr>
        <w:rPr>
          <w:szCs w:val="22"/>
        </w:rPr>
      </w:pPr>
      <w:r w:rsidRPr="008F4999">
        <w:rPr>
          <w:szCs w:val="22"/>
        </w:rPr>
        <w:t xml:space="preserve">Much of what is understood about immune surveillance of cancer has come from comparing susceptibility to </w:t>
      </w:r>
      <w:r w:rsidR="008F4999">
        <w:rPr>
          <w:szCs w:val="22"/>
        </w:rPr>
        <w:t xml:space="preserve">transplantable or </w:t>
      </w:r>
      <w:r w:rsidRPr="008F4999">
        <w:rPr>
          <w:szCs w:val="22"/>
        </w:rPr>
        <w:t xml:space="preserve">carcinogen-induced </w:t>
      </w:r>
      <w:r w:rsidR="008F4999">
        <w:rPr>
          <w:szCs w:val="22"/>
        </w:rPr>
        <w:t>cancer models</w:t>
      </w:r>
      <w:r w:rsidRPr="008F4999">
        <w:rPr>
          <w:szCs w:val="22"/>
        </w:rPr>
        <w:t xml:space="preserve"> in normal versus various immuno-compromised strains of mice. </w:t>
      </w:r>
      <w:r w:rsidR="008F4999">
        <w:rPr>
          <w:szCs w:val="22"/>
        </w:rPr>
        <w:t>As a PhD candidate,</w:t>
      </w:r>
      <w:r w:rsidRPr="008F4999">
        <w:rPr>
          <w:szCs w:val="22"/>
        </w:rPr>
        <w:t xml:space="preserve"> I </w:t>
      </w:r>
      <w:r w:rsidRPr="008F4999">
        <w:rPr>
          <w:rFonts w:cs="Times"/>
          <w:color w:val="141413"/>
          <w:szCs w:val="22"/>
        </w:rPr>
        <w:t xml:space="preserve">overcame many of the obstacles of </w:t>
      </w:r>
      <w:r w:rsidR="008F4999">
        <w:rPr>
          <w:rFonts w:cs="Times"/>
          <w:color w:val="141413"/>
          <w:szCs w:val="22"/>
        </w:rPr>
        <w:t xml:space="preserve">transplantable and </w:t>
      </w:r>
      <w:r w:rsidRPr="008F4999">
        <w:rPr>
          <w:rFonts w:cs="Times"/>
          <w:color w:val="141413"/>
          <w:szCs w:val="22"/>
        </w:rPr>
        <w:t xml:space="preserve">carcinogen-induced models of cancer by generating autochthonous, genetically engineered </w:t>
      </w:r>
      <w:r w:rsidR="00473415">
        <w:rPr>
          <w:rFonts w:cs="Times"/>
          <w:color w:val="141413"/>
          <w:szCs w:val="22"/>
        </w:rPr>
        <w:t xml:space="preserve">mouse </w:t>
      </w:r>
      <w:r w:rsidRPr="008F4999">
        <w:rPr>
          <w:rFonts w:cs="Times"/>
          <w:color w:val="141413"/>
          <w:szCs w:val="22"/>
        </w:rPr>
        <w:t>model</w:t>
      </w:r>
      <w:r w:rsidR="008F4999">
        <w:rPr>
          <w:rFonts w:cs="Times"/>
          <w:color w:val="141413"/>
          <w:szCs w:val="22"/>
        </w:rPr>
        <w:t>s</w:t>
      </w:r>
      <w:r w:rsidRPr="008F4999">
        <w:rPr>
          <w:rFonts w:cs="Times"/>
          <w:color w:val="141413"/>
          <w:szCs w:val="22"/>
        </w:rPr>
        <w:t xml:space="preserve"> </w:t>
      </w:r>
      <w:r w:rsidR="00473415">
        <w:rPr>
          <w:rFonts w:cs="Times"/>
          <w:color w:val="141413"/>
          <w:szCs w:val="22"/>
        </w:rPr>
        <w:t xml:space="preserve">(GEMMs) </w:t>
      </w:r>
      <w:r w:rsidRPr="008F4999">
        <w:rPr>
          <w:rFonts w:cs="Times"/>
          <w:color w:val="141413"/>
          <w:szCs w:val="22"/>
        </w:rPr>
        <w:t xml:space="preserve">of </w:t>
      </w:r>
      <w:r w:rsidR="008F4999">
        <w:rPr>
          <w:rFonts w:cs="Times"/>
          <w:color w:val="141413"/>
          <w:szCs w:val="22"/>
        </w:rPr>
        <w:t>cancer</w:t>
      </w:r>
      <w:r w:rsidRPr="008F4999">
        <w:rPr>
          <w:rFonts w:cs="Times"/>
          <w:color w:val="141413"/>
          <w:szCs w:val="22"/>
        </w:rPr>
        <w:t xml:space="preserve"> </w:t>
      </w:r>
      <w:r w:rsidRPr="008F4999">
        <w:rPr>
          <w:szCs w:val="22"/>
        </w:rPr>
        <w:t>that could be induced to express or lack model tumor-specific neo-antigens (TSAs)</w:t>
      </w:r>
      <w:r w:rsidRPr="008F4999">
        <w:rPr>
          <w:rFonts w:cs="Times"/>
          <w:color w:val="141413"/>
          <w:szCs w:val="22"/>
        </w:rPr>
        <w:t xml:space="preserve"> to </w:t>
      </w:r>
      <w:r w:rsidRPr="008F4999">
        <w:rPr>
          <w:szCs w:val="22"/>
        </w:rPr>
        <w:t xml:space="preserve">investigate the consequences of immune-tumor interactions in the pathophysiology of </w:t>
      </w:r>
      <w:r w:rsidR="00473415">
        <w:rPr>
          <w:szCs w:val="22"/>
        </w:rPr>
        <w:t>distinct forms of cancer</w:t>
      </w:r>
      <w:r w:rsidRPr="008F4999">
        <w:rPr>
          <w:szCs w:val="22"/>
        </w:rPr>
        <w:t xml:space="preserve">. </w:t>
      </w:r>
      <w:r w:rsidRPr="008F4999">
        <w:rPr>
          <w:rFonts w:cs="Times"/>
          <w:color w:val="141413"/>
          <w:szCs w:val="22"/>
        </w:rPr>
        <w:t xml:space="preserve">My work resulted in two key discoveries for the field of cancer </w:t>
      </w:r>
      <w:proofErr w:type="spellStart"/>
      <w:r w:rsidRPr="008F4999">
        <w:rPr>
          <w:rFonts w:cs="Times"/>
          <w:color w:val="141413"/>
          <w:szCs w:val="22"/>
        </w:rPr>
        <w:t>immunoediting</w:t>
      </w:r>
      <w:proofErr w:type="spellEnd"/>
      <w:r w:rsidRPr="008F4999">
        <w:rPr>
          <w:rFonts w:cs="Times"/>
          <w:color w:val="141413"/>
          <w:szCs w:val="22"/>
        </w:rPr>
        <w:t xml:space="preserve"> – the process by which immune cells protect the host from the development of cancer or drive the outgrowth of tumor cells with decreased sensitivity to immune attack. First, oncogene-driven, autochthonous sarcomas undergo </w:t>
      </w:r>
      <w:proofErr w:type="spellStart"/>
      <w:r w:rsidRPr="008F4999">
        <w:rPr>
          <w:rFonts w:cs="Times"/>
          <w:color w:val="141413"/>
          <w:szCs w:val="22"/>
        </w:rPr>
        <w:t>immunoediting</w:t>
      </w:r>
      <w:proofErr w:type="spellEnd"/>
      <w:r w:rsidRPr="008F4999">
        <w:rPr>
          <w:rFonts w:cs="Times"/>
          <w:color w:val="141413"/>
          <w:szCs w:val="22"/>
        </w:rPr>
        <w:t xml:space="preserve"> in a manner similar to carcinogen-driven tumors if they express model TSAs. </w:t>
      </w:r>
      <w:proofErr w:type="spellStart"/>
      <w:r w:rsidRPr="008F4999">
        <w:rPr>
          <w:rFonts w:cs="Times"/>
          <w:color w:val="141413"/>
          <w:szCs w:val="22"/>
        </w:rPr>
        <w:t>Immunoediting</w:t>
      </w:r>
      <w:proofErr w:type="spellEnd"/>
      <w:r w:rsidRPr="008F4999">
        <w:rPr>
          <w:rFonts w:cs="Times"/>
          <w:color w:val="141413"/>
          <w:szCs w:val="22"/>
        </w:rPr>
        <w:t xml:space="preserve"> occurs via loss of TSA or MHCI expression. Second, sarcomas induced without potent TSAs are significantly less immunogenic, even when they develop in the absence of the adaptive immune system. Therefore, my work revealed that recognition of TSAs by lymphocytes is a critical determinant of </w:t>
      </w:r>
      <w:proofErr w:type="spellStart"/>
      <w:r w:rsidRPr="008F4999">
        <w:rPr>
          <w:rFonts w:cs="Times"/>
          <w:color w:val="141413"/>
          <w:szCs w:val="22"/>
        </w:rPr>
        <w:t>immunoediting</w:t>
      </w:r>
      <w:proofErr w:type="spellEnd"/>
      <w:r w:rsidRPr="008F4999">
        <w:rPr>
          <w:rFonts w:cs="Times"/>
          <w:color w:val="141413"/>
          <w:szCs w:val="22"/>
        </w:rPr>
        <w:t xml:space="preserve"> and that tumor immunogenicity is not a universal characteristic of all cancers.</w:t>
      </w:r>
      <w:r w:rsidRPr="008F4999">
        <w:rPr>
          <w:szCs w:val="22"/>
        </w:rPr>
        <w:t xml:space="preserve"> </w:t>
      </w:r>
      <w:r w:rsidRPr="008F4999">
        <w:rPr>
          <w:rFonts w:cs="Times"/>
          <w:color w:val="141413"/>
          <w:szCs w:val="22"/>
        </w:rPr>
        <w:t xml:space="preserve">My work was transformative because it provided the first experimental system to unify the apparently conflicting results obtained using either carcinogen-induced or genetically </w:t>
      </w:r>
      <w:r w:rsidR="008F4999">
        <w:rPr>
          <w:rFonts w:cs="Times"/>
          <w:color w:val="141413"/>
          <w:szCs w:val="22"/>
        </w:rPr>
        <w:t>engineer</w:t>
      </w:r>
      <w:r w:rsidRPr="008F4999">
        <w:rPr>
          <w:rFonts w:cs="Times"/>
          <w:color w:val="141413"/>
          <w:szCs w:val="22"/>
        </w:rPr>
        <w:t xml:space="preserve">ed mouse models of cancer by identifying TSAs as the critical determinants that invoke adaptive </w:t>
      </w:r>
      <w:proofErr w:type="spellStart"/>
      <w:r w:rsidRPr="008F4999">
        <w:rPr>
          <w:rFonts w:cs="Times"/>
          <w:color w:val="141413"/>
          <w:szCs w:val="22"/>
        </w:rPr>
        <w:t>immunosurveillance</w:t>
      </w:r>
      <w:proofErr w:type="spellEnd"/>
      <w:r w:rsidRPr="008F4999">
        <w:rPr>
          <w:rFonts w:cs="Times"/>
          <w:color w:val="141413"/>
          <w:szCs w:val="22"/>
        </w:rPr>
        <w:t xml:space="preserve"> and </w:t>
      </w:r>
      <w:proofErr w:type="spellStart"/>
      <w:r w:rsidRPr="008F4999">
        <w:rPr>
          <w:rFonts w:cs="Times"/>
          <w:color w:val="141413"/>
          <w:szCs w:val="22"/>
        </w:rPr>
        <w:t>immunoediting</w:t>
      </w:r>
      <w:proofErr w:type="spellEnd"/>
      <w:r w:rsidRPr="008F4999">
        <w:rPr>
          <w:rFonts w:cs="Times"/>
          <w:color w:val="141413"/>
          <w:szCs w:val="22"/>
        </w:rPr>
        <w:t xml:space="preserve">. </w:t>
      </w:r>
      <w:r w:rsidRPr="008F4999">
        <w:rPr>
          <w:szCs w:val="22"/>
        </w:rPr>
        <w:t>Finally, by comparing T cell responses in TSA-expressing models of lung adenocarcinomas and sarcomas, I discovered that in contrast to sarcomas, endogenous T cell responses to lung tumors are less productive and are incapable of driving antigen loss; thus uncovering a considerable degree of heterogeneity in T cell responses depending on the type of cancer and the environmental context.</w:t>
      </w:r>
    </w:p>
    <w:p w14:paraId="3255F4B3" w14:textId="2E64F1FA" w:rsidR="00E92822" w:rsidRPr="00BF7F65" w:rsidRDefault="00BF7F65" w:rsidP="00BF7F65">
      <w:pPr>
        <w:pStyle w:val="ListParagraph"/>
        <w:numPr>
          <w:ilvl w:val="0"/>
          <w:numId w:val="21"/>
        </w:numPr>
        <w:rPr>
          <w:sz w:val="20"/>
        </w:rPr>
      </w:pPr>
      <w:r w:rsidRPr="00BF7F65">
        <w:rPr>
          <w:sz w:val="20"/>
        </w:rPr>
        <w:t xml:space="preserve">Cheung AF, </w:t>
      </w:r>
      <w:r w:rsidRPr="00BF7F65">
        <w:rPr>
          <w:b/>
          <w:sz w:val="20"/>
        </w:rPr>
        <w:t>DuPage M</w:t>
      </w:r>
      <w:r w:rsidRPr="00BF7F65">
        <w:rPr>
          <w:sz w:val="20"/>
        </w:rPr>
        <w:t xml:space="preserve">, Dong HK, Chen J, Jacks T. Regulated expression of a tumor-associated antigen reveals multiple levels of T-cell tolerance in a mouse model of lung cancer. </w:t>
      </w:r>
      <w:r w:rsidRPr="00BF7F65">
        <w:rPr>
          <w:i/>
          <w:sz w:val="20"/>
        </w:rPr>
        <w:t xml:space="preserve">Cancer Res. </w:t>
      </w:r>
      <w:r w:rsidRPr="00BF7F65">
        <w:rPr>
          <w:sz w:val="20"/>
        </w:rPr>
        <w:t>(2008) 68:9459-68.</w:t>
      </w:r>
    </w:p>
    <w:p w14:paraId="2A08CB1D" w14:textId="6C2BACDA" w:rsidR="00BF7F65" w:rsidRPr="00BF7F65" w:rsidRDefault="00BF7F65" w:rsidP="00BF7F65">
      <w:pPr>
        <w:pStyle w:val="ListParagraph"/>
        <w:numPr>
          <w:ilvl w:val="0"/>
          <w:numId w:val="21"/>
        </w:numPr>
        <w:rPr>
          <w:szCs w:val="22"/>
        </w:rPr>
      </w:pPr>
      <w:r w:rsidRPr="001420FA">
        <w:rPr>
          <w:b/>
          <w:sz w:val="20"/>
        </w:rPr>
        <w:t>DuPage M</w:t>
      </w:r>
      <w:r w:rsidRPr="001420FA">
        <w:rPr>
          <w:sz w:val="20"/>
        </w:rPr>
        <w:t>, Cheung</w:t>
      </w:r>
      <w:r w:rsidRPr="001420FA">
        <w:rPr>
          <w:sz w:val="20"/>
          <w:vertAlign w:val="superscript"/>
        </w:rPr>
        <w:t xml:space="preserve"> </w:t>
      </w:r>
      <w:r w:rsidRPr="001420FA">
        <w:rPr>
          <w:sz w:val="20"/>
        </w:rPr>
        <w:t xml:space="preserve">AF, </w:t>
      </w:r>
      <w:proofErr w:type="spellStart"/>
      <w:r w:rsidRPr="001420FA">
        <w:rPr>
          <w:sz w:val="20"/>
        </w:rPr>
        <w:t>Mazumdar</w:t>
      </w:r>
      <w:proofErr w:type="spellEnd"/>
      <w:r w:rsidRPr="001420FA">
        <w:rPr>
          <w:sz w:val="20"/>
          <w:vertAlign w:val="superscript"/>
        </w:rPr>
        <w:t xml:space="preserve"> </w:t>
      </w:r>
      <w:r w:rsidRPr="001420FA">
        <w:rPr>
          <w:sz w:val="20"/>
        </w:rPr>
        <w:t>C, Winslow</w:t>
      </w:r>
      <w:r w:rsidRPr="001420FA">
        <w:rPr>
          <w:sz w:val="20"/>
          <w:vertAlign w:val="superscript"/>
        </w:rPr>
        <w:t xml:space="preserve"> </w:t>
      </w:r>
      <w:r w:rsidRPr="001420FA">
        <w:rPr>
          <w:sz w:val="20"/>
        </w:rPr>
        <w:t>MM, Bronson R, Schmidt LM, Crowley</w:t>
      </w:r>
      <w:r w:rsidRPr="001420FA">
        <w:rPr>
          <w:sz w:val="20"/>
          <w:vertAlign w:val="superscript"/>
        </w:rPr>
        <w:t xml:space="preserve"> </w:t>
      </w:r>
      <w:r w:rsidRPr="001420FA">
        <w:rPr>
          <w:sz w:val="20"/>
        </w:rPr>
        <w:t>D, Chen</w:t>
      </w:r>
      <w:r w:rsidRPr="001420FA">
        <w:rPr>
          <w:sz w:val="20"/>
          <w:vertAlign w:val="superscript"/>
        </w:rPr>
        <w:t xml:space="preserve"> </w:t>
      </w:r>
      <w:r w:rsidRPr="001420FA">
        <w:rPr>
          <w:sz w:val="20"/>
        </w:rPr>
        <w:t xml:space="preserve">J, Jacks T. Endogenous T cell responses to antigens expressed in lung adenocarcinomas delay malignant tumor progression. </w:t>
      </w:r>
      <w:r w:rsidRPr="001420FA">
        <w:rPr>
          <w:i/>
          <w:sz w:val="20"/>
        </w:rPr>
        <w:t>Cancer Cell</w:t>
      </w:r>
      <w:r w:rsidRPr="001420FA">
        <w:rPr>
          <w:sz w:val="20"/>
        </w:rPr>
        <w:t xml:space="preserve"> (2011) 19: 72-85.</w:t>
      </w:r>
    </w:p>
    <w:p w14:paraId="629311D1" w14:textId="0D6B88E8" w:rsidR="00BF7F65" w:rsidRPr="00BF7F65" w:rsidRDefault="00BF7F65" w:rsidP="00BF7F65">
      <w:pPr>
        <w:pStyle w:val="ListParagraph"/>
        <w:numPr>
          <w:ilvl w:val="0"/>
          <w:numId w:val="21"/>
        </w:numPr>
        <w:rPr>
          <w:szCs w:val="22"/>
        </w:rPr>
      </w:pPr>
      <w:r w:rsidRPr="0087232A">
        <w:rPr>
          <w:b/>
          <w:sz w:val="20"/>
        </w:rPr>
        <w:lastRenderedPageBreak/>
        <w:t>DuPage M</w:t>
      </w:r>
      <w:r w:rsidRPr="0087232A">
        <w:rPr>
          <w:sz w:val="20"/>
        </w:rPr>
        <w:t xml:space="preserve">, </w:t>
      </w:r>
      <w:proofErr w:type="spellStart"/>
      <w:r w:rsidRPr="0087232A">
        <w:rPr>
          <w:sz w:val="20"/>
        </w:rPr>
        <w:t>Mazumdar</w:t>
      </w:r>
      <w:proofErr w:type="spellEnd"/>
      <w:r w:rsidRPr="0087232A">
        <w:rPr>
          <w:sz w:val="20"/>
        </w:rPr>
        <w:t xml:space="preserve"> C, Schmidt LM, Cheung AF, Jacks T. Expression of </w:t>
      </w:r>
      <w:proofErr w:type="spellStart"/>
      <w:r w:rsidRPr="0087232A">
        <w:rPr>
          <w:sz w:val="20"/>
        </w:rPr>
        <w:t>tumour</w:t>
      </w:r>
      <w:proofErr w:type="spellEnd"/>
      <w:r w:rsidRPr="0087232A">
        <w:rPr>
          <w:sz w:val="20"/>
        </w:rPr>
        <w:t xml:space="preserve">-specific antigens underlies cancer </w:t>
      </w:r>
      <w:proofErr w:type="spellStart"/>
      <w:r w:rsidRPr="0087232A">
        <w:rPr>
          <w:sz w:val="20"/>
        </w:rPr>
        <w:t>immunoediting</w:t>
      </w:r>
      <w:proofErr w:type="spellEnd"/>
      <w:r w:rsidRPr="0087232A">
        <w:rPr>
          <w:sz w:val="20"/>
        </w:rPr>
        <w:t xml:space="preserve">. </w:t>
      </w:r>
      <w:r w:rsidRPr="0087232A">
        <w:rPr>
          <w:i/>
          <w:sz w:val="20"/>
        </w:rPr>
        <w:t xml:space="preserve">Nature </w:t>
      </w:r>
      <w:r w:rsidRPr="0087232A">
        <w:rPr>
          <w:sz w:val="20"/>
        </w:rPr>
        <w:t>(2012) 482: 405.</w:t>
      </w:r>
    </w:p>
    <w:p w14:paraId="716FE8BF" w14:textId="40E5B216" w:rsidR="00BF7F65" w:rsidRPr="00BF7F65" w:rsidRDefault="00BF7F65" w:rsidP="00BF7F65">
      <w:pPr>
        <w:pStyle w:val="ListParagraph"/>
        <w:numPr>
          <w:ilvl w:val="0"/>
          <w:numId w:val="21"/>
        </w:numPr>
        <w:rPr>
          <w:szCs w:val="22"/>
        </w:rPr>
      </w:pPr>
      <w:r>
        <w:rPr>
          <w:b/>
          <w:sz w:val="20"/>
        </w:rPr>
        <w:t>DuPage M</w:t>
      </w:r>
      <w:r>
        <w:rPr>
          <w:sz w:val="20"/>
        </w:rPr>
        <w:t xml:space="preserve">, Jacks T. </w:t>
      </w:r>
      <w:proofErr w:type="gramStart"/>
      <w:r w:rsidRPr="0087232A">
        <w:rPr>
          <w:rFonts w:cs="Arial"/>
          <w:bCs/>
          <w:sz w:val="20"/>
          <w:szCs w:val="20"/>
        </w:rPr>
        <w:t>Genetically</w:t>
      </w:r>
      <w:proofErr w:type="gramEnd"/>
      <w:r w:rsidRPr="0087232A">
        <w:rPr>
          <w:rFonts w:cs="Arial"/>
          <w:bCs/>
          <w:sz w:val="20"/>
          <w:szCs w:val="20"/>
        </w:rPr>
        <w:t xml:space="preserve"> engineered mouse models of cancer reveal new insights about the antitumor immune response. </w:t>
      </w:r>
      <w:proofErr w:type="spellStart"/>
      <w:r w:rsidRPr="0087232A">
        <w:rPr>
          <w:rFonts w:cs="Arial"/>
          <w:i/>
          <w:color w:val="262626"/>
          <w:sz w:val="20"/>
          <w:szCs w:val="20"/>
        </w:rPr>
        <w:t>Curr</w:t>
      </w:r>
      <w:proofErr w:type="spellEnd"/>
      <w:r w:rsidRPr="0087232A">
        <w:rPr>
          <w:rFonts w:cs="Arial"/>
          <w:i/>
          <w:color w:val="262626"/>
          <w:sz w:val="20"/>
          <w:szCs w:val="20"/>
        </w:rPr>
        <w:t xml:space="preserve"> </w:t>
      </w:r>
      <w:proofErr w:type="spellStart"/>
      <w:r w:rsidRPr="0087232A">
        <w:rPr>
          <w:rFonts w:cs="Arial"/>
          <w:i/>
          <w:color w:val="262626"/>
          <w:sz w:val="20"/>
          <w:szCs w:val="20"/>
        </w:rPr>
        <w:t>Opin</w:t>
      </w:r>
      <w:proofErr w:type="spellEnd"/>
      <w:r w:rsidRPr="0087232A">
        <w:rPr>
          <w:rFonts w:cs="Arial"/>
          <w:i/>
          <w:color w:val="262626"/>
          <w:sz w:val="20"/>
          <w:szCs w:val="20"/>
        </w:rPr>
        <w:t xml:space="preserve"> </w:t>
      </w:r>
      <w:proofErr w:type="spellStart"/>
      <w:r w:rsidRPr="0087232A">
        <w:rPr>
          <w:rFonts w:cs="Arial"/>
          <w:i/>
          <w:color w:val="262626"/>
          <w:sz w:val="20"/>
          <w:szCs w:val="20"/>
        </w:rPr>
        <w:t>Immunol</w:t>
      </w:r>
      <w:proofErr w:type="spellEnd"/>
      <w:r w:rsidRPr="0087232A">
        <w:rPr>
          <w:rFonts w:cs="Arial"/>
          <w:i/>
          <w:color w:val="262626"/>
          <w:sz w:val="20"/>
          <w:szCs w:val="20"/>
        </w:rPr>
        <w:t>.</w:t>
      </w:r>
      <w:r w:rsidRPr="0087232A">
        <w:rPr>
          <w:rFonts w:cs="Arial"/>
          <w:sz w:val="20"/>
          <w:szCs w:val="20"/>
          <w:u w:color="262626"/>
        </w:rPr>
        <w:t xml:space="preserve"> </w:t>
      </w:r>
      <w:r>
        <w:rPr>
          <w:rFonts w:cs="Arial"/>
          <w:sz w:val="20"/>
          <w:szCs w:val="20"/>
          <w:u w:color="262626"/>
        </w:rPr>
        <w:t>(</w:t>
      </w:r>
      <w:r w:rsidRPr="0087232A">
        <w:rPr>
          <w:rFonts w:cs="Arial"/>
          <w:sz w:val="20"/>
          <w:szCs w:val="20"/>
          <w:u w:color="262626"/>
        </w:rPr>
        <w:t>2013</w:t>
      </w:r>
      <w:r>
        <w:rPr>
          <w:rFonts w:cs="Arial"/>
          <w:sz w:val="20"/>
          <w:szCs w:val="20"/>
          <w:u w:color="262626"/>
        </w:rPr>
        <w:t>) 25</w:t>
      </w:r>
      <w:r w:rsidRPr="0087232A">
        <w:rPr>
          <w:rFonts w:cs="Arial"/>
          <w:sz w:val="20"/>
          <w:szCs w:val="20"/>
          <w:u w:color="262626"/>
        </w:rPr>
        <w:t>:192-9.</w:t>
      </w:r>
    </w:p>
    <w:p w14:paraId="17CBE377" w14:textId="77777777" w:rsidR="00E92822" w:rsidRPr="00E92822" w:rsidRDefault="00E92822" w:rsidP="00E92822">
      <w:pPr>
        <w:rPr>
          <w:szCs w:val="22"/>
        </w:rPr>
      </w:pPr>
    </w:p>
    <w:p w14:paraId="0F399971" w14:textId="4EF2DB53" w:rsidR="00E92822" w:rsidRPr="00BF7F65" w:rsidRDefault="003A2DC5" w:rsidP="00BF7F65">
      <w:pPr>
        <w:pStyle w:val="ListParagraph"/>
        <w:numPr>
          <w:ilvl w:val="0"/>
          <w:numId w:val="20"/>
        </w:numPr>
        <w:rPr>
          <w:szCs w:val="22"/>
        </w:rPr>
      </w:pPr>
      <w:r w:rsidRPr="00961313">
        <w:rPr>
          <w:szCs w:val="22"/>
        </w:rPr>
        <w:t xml:space="preserve">To elucidate the role of T cell responses to </w:t>
      </w:r>
      <w:r w:rsidR="008F4999">
        <w:rPr>
          <w:szCs w:val="22"/>
        </w:rPr>
        <w:t xml:space="preserve">genetically engineered mouse models (GEMMs) of </w:t>
      </w:r>
      <w:r w:rsidRPr="00961313">
        <w:rPr>
          <w:szCs w:val="22"/>
        </w:rPr>
        <w:t xml:space="preserve">cancer, I </w:t>
      </w:r>
      <w:r w:rsidR="008F4999">
        <w:rPr>
          <w:szCs w:val="22"/>
        </w:rPr>
        <w:t>created</w:t>
      </w:r>
      <w:r w:rsidRPr="00961313">
        <w:rPr>
          <w:szCs w:val="22"/>
        </w:rPr>
        <w:t xml:space="preserve"> multi-functional lentiviral vectors that allowed for the induction of next-generation </w:t>
      </w:r>
      <w:r w:rsidR="008F4999">
        <w:rPr>
          <w:szCs w:val="22"/>
        </w:rPr>
        <w:t>GEM</w:t>
      </w:r>
      <w:r w:rsidRPr="00961313">
        <w:rPr>
          <w:szCs w:val="22"/>
        </w:rPr>
        <w:t xml:space="preserve"> tumor models that express neo-antigens. The use of lentiviruses was a technological advancement essential for many discoveries from the laboratory </w:t>
      </w:r>
      <w:r w:rsidR="008F4999">
        <w:rPr>
          <w:szCs w:val="22"/>
        </w:rPr>
        <w:t xml:space="preserve">and the entire GEMM field </w:t>
      </w:r>
      <w:r w:rsidRPr="00961313">
        <w:rPr>
          <w:szCs w:val="22"/>
        </w:rPr>
        <w:t>becau</w:t>
      </w:r>
      <w:r w:rsidR="008F4999">
        <w:rPr>
          <w:szCs w:val="22"/>
        </w:rPr>
        <w:t>se it provided a new paradigm for rapidly introducing</w:t>
      </w:r>
      <w:r w:rsidRPr="00961313">
        <w:rPr>
          <w:szCs w:val="22"/>
        </w:rPr>
        <w:t xml:space="preserve"> key </w:t>
      </w:r>
      <w:proofErr w:type="spellStart"/>
      <w:r w:rsidRPr="00961313">
        <w:rPr>
          <w:szCs w:val="22"/>
        </w:rPr>
        <w:t>cDNAs</w:t>
      </w:r>
      <w:proofErr w:type="spellEnd"/>
      <w:r w:rsidRPr="00961313">
        <w:rPr>
          <w:szCs w:val="22"/>
        </w:rPr>
        <w:t xml:space="preserve">, </w:t>
      </w:r>
      <w:proofErr w:type="spellStart"/>
      <w:r w:rsidRPr="00961313">
        <w:rPr>
          <w:szCs w:val="22"/>
        </w:rPr>
        <w:t>shRNAs</w:t>
      </w:r>
      <w:proofErr w:type="spellEnd"/>
      <w:r w:rsidRPr="00961313">
        <w:rPr>
          <w:szCs w:val="22"/>
        </w:rPr>
        <w:t>, or CRISPR/Cas9 into multi</w:t>
      </w:r>
      <w:r w:rsidR="00E92822">
        <w:rPr>
          <w:szCs w:val="22"/>
        </w:rPr>
        <w:t>ple autochthonous cancer models.</w:t>
      </w:r>
    </w:p>
    <w:p w14:paraId="0C72A486" w14:textId="77777777" w:rsidR="00F4249F" w:rsidRDefault="00E92822" w:rsidP="00F4249F">
      <w:pPr>
        <w:pStyle w:val="ListParagraph"/>
        <w:numPr>
          <w:ilvl w:val="0"/>
          <w:numId w:val="24"/>
        </w:numPr>
        <w:spacing w:before="120"/>
        <w:rPr>
          <w:sz w:val="20"/>
        </w:rPr>
      </w:pPr>
      <w:r w:rsidRPr="001420FA">
        <w:rPr>
          <w:b/>
          <w:sz w:val="20"/>
        </w:rPr>
        <w:t>DuPage M</w:t>
      </w:r>
      <w:r w:rsidRPr="001420FA">
        <w:rPr>
          <w:sz w:val="20"/>
        </w:rPr>
        <w:t xml:space="preserve">, Dooley AL, Jacks T. Conditional mouse lung cancer models using adenoviral or lentiviral delivery of </w:t>
      </w:r>
      <w:proofErr w:type="spellStart"/>
      <w:r w:rsidRPr="001420FA">
        <w:rPr>
          <w:sz w:val="20"/>
        </w:rPr>
        <w:t>Cre</w:t>
      </w:r>
      <w:proofErr w:type="spellEnd"/>
      <w:r w:rsidRPr="001420FA">
        <w:rPr>
          <w:sz w:val="20"/>
        </w:rPr>
        <w:t xml:space="preserve"> recombinase. </w:t>
      </w:r>
      <w:r w:rsidRPr="001420FA">
        <w:rPr>
          <w:i/>
          <w:sz w:val="20"/>
        </w:rPr>
        <w:t xml:space="preserve">Nat </w:t>
      </w:r>
      <w:proofErr w:type="spellStart"/>
      <w:r w:rsidRPr="001420FA">
        <w:rPr>
          <w:i/>
          <w:sz w:val="20"/>
        </w:rPr>
        <w:t>Protoc</w:t>
      </w:r>
      <w:proofErr w:type="spellEnd"/>
      <w:r w:rsidRPr="001420FA">
        <w:rPr>
          <w:i/>
          <w:sz w:val="20"/>
        </w:rPr>
        <w:t>.</w:t>
      </w:r>
      <w:r w:rsidRPr="001420FA">
        <w:rPr>
          <w:sz w:val="20"/>
        </w:rPr>
        <w:t xml:space="preserve"> (2009) 4: 1064-72.</w:t>
      </w:r>
    </w:p>
    <w:p w14:paraId="525F9FBA" w14:textId="77777777" w:rsidR="00F4249F" w:rsidRPr="00F4249F" w:rsidRDefault="00F4249F" w:rsidP="00F4249F">
      <w:pPr>
        <w:pStyle w:val="ListParagraph"/>
        <w:numPr>
          <w:ilvl w:val="0"/>
          <w:numId w:val="24"/>
        </w:numPr>
        <w:spacing w:before="120"/>
        <w:rPr>
          <w:sz w:val="20"/>
        </w:rPr>
      </w:pPr>
      <w:r w:rsidRPr="00F4249F">
        <w:rPr>
          <w:sz w:val="20"/>
          <w:szCs w:val="20"/>
        </w:rPr>
        <w:t xml:space="preserve">Winslow MM, Dayton TL, </w:t>
      </w:r>
      <w:proofErr w:type="spellStart"/>
      <w:r w:rsidRPr="00F4249F">
        <w:rPr>
          <w:sz w:val="20"/>
          <w:szCs w:val="20"/>
        </w:rPr>
        <w:t>Verhaak</w:t>
      </w:r>
      <w:proofErr w:type="spellEnd"/>
      <w:r w:rsidRPr="00F4249F">
        <w:rPr>
          <w:sz w:val="20"/>
          <w:szCs w:val="20"/>
        </w:rPr>
        <w:t xml:space="preserve"> R, Kim-</w:t>
      </w:r>
      <w:proofErr w:type="spellStart"/>
      <w:r w:rsidRPr="00F4249F">
        <w:rPr>
          <w:sz w:val="20"/>
          <w:szCs w:val="20"/>
        </w:rPr>
        <w:t>Kiselak</w:t>
      </w:r>
      <w:proofErr w:type="spellEnd"/>
      <w:r w:rsidRPr="00F4249F">
        <w:rPr>
          <w:sz w:val="20"/>
          <w:szCs w:val="20"/>
        </w:rPr>
        <w:t xml:space="preserve"> C, Snyder EL, </w:t>
      </w:r>
      <w:proofErr w:type="spellStart"/>
      <w:r w:rsidRPr="00F4249F">
        <w:rPr>
          <w:sz w:val="20"/>
          <w:szCs w:val="20"/>
        </w:rPr>
        <w:t>Feldser</w:t>
      </w:r>
      <w:proofErr w:type="spellEnd"/>
      <w:r w:rsidRPr="00F4249F">
        <w:rPr>
          <w:sz w:val="20"/>
          <w:szCs w:val="20"/>
        </w:rPr>
        <w:t xml:space="preserve"> DM, Hubbard D, </w:t>
      </w:r>
      <w:r w:rsidRPr="00F4249F">
        <w:rPr>
          <w:b/>
          <w:sz w:val="20"/>
          <w:szCs w:val="20"/>
        </w:rPr>
        <w:t>DuPage M</w:t>
      </w:r>
      <w:r w:rsidRPr="00F4249F">
        <w:rPr>
          <w:sz w:val="20"/>
          <w:szCs w:val="20"/>
        </w:rPr>
        <w:t xml:space="preserve">, Whittaker CA, </w:t>
      </w:r>
      <w:proofErr w:type="spellStart"/>
      <w:r w:rsidRPr="00F4249F">
        <w:rPr>
          <w:sz w:val="20"/>
          <w:szCs w:val="20"/>
        </w:rPr>
        <w:t>Hoersch</w:t>
      </w:r>
      <w:proofErr w:type="spellEnd"/>
      <w:r w:rsidRPr="00F4249F">
        <w:rPr>
          <w:sz w:val="20"/>
          <w:szCs w:val="20"/>
        </w:rPr>
        <w:t xml:space="preserve"> S, Yoon S, Crowley D, Bronson RT, Chiang DY, Meyerson M, Jacks T. Suppression of lung adenocarcinoma progression by Nkx2-1. </w:t>
      </w:r>
      <w:r w:rsidRPr="00F4249F">
        <w:rPr>
          <w:i/>
          <w:sz w:val="20"/>
          <w:szCs w:val="20"/>
        </w:rPr>
        <w:t xml:space="preserve">Nature </w:t>
      </w:r>
      <w:r w:rsidRPr="00F4249F">
        <w:rPr>
          <w:sz w:val="20"/>
          <w:szCs w:val="20"/>
        </w:rPr>
        <w:t>(2011) 473: 101-104.</w:t>
      </w:r>
    </w:p>
    <w:p w14:paraId="679FEBC2" w14:textId="397F7E82" w:rsidR="00F4249F" w:rsidRPr="00F4249F" w:rsidRDefault="00F4249F" w:rsidP="00F4249F">
      <w:pPr>
        <w:pStyle w:val="ListParagraph"/>
        <w:numPr>
          <w:ilvl w:val="0"/>
          <w:numId w:val="24"/>
        </w:numPr>
        <w:spacing w:before="120"/>
        <w:rPr>
          <w:sz w:val="20"/>
        </w:rPr>
      </w:pPr>
      <w:r w:rsidRPr="00F4249F">
        <w:rPr>
          <w:rFonts w:cs="Arial"/>
          <w:sz w:val="20"/>
          <w:szCs w:val="20"/>
        </w:rPr>
        <w:t xml:space="preserve">Joshi NS, </w:t>
      </w:r>
      <w:proofErr w:type="spellStart"/>
      <w:r w:rsidRPr="00F4249F">
        <w:rPr>
          <w:rFonts w:cs="Arial"/>
          <w:sz w:val="20"/>
          <w:szCs w:val="20"/>
        </w:rPr>
        <w:t>Akama-Garren</w:t>
      </w:r>
      <w:proofErr w:type="spellEnd"/>
      <w:r w:rsidRPr="00F4249F">
        <w:rPr>
          <w:rFonts w:cs="Arial"/>
          <w:sz w:val="20"/>
          <w:szCs w:val="20"/>
        </w:rPr>
        <w:t xml:space="preserve"> EH, Lu Y, Lee DY, Chang GP, Li A, </w:t>
      </w:r>
      <w:r w:rsidRPr="00F4249F">
        <w:rPr>
          <w:rFonts w:cs="Arial"/>
          <w:b/>
          <w:bCs/>
          <w:sz w:val="20"/>
          <w:szCs w:val="20"/>
        </w:rPr>
        <w:t>DuPage M</w:t>
      </w:r>
      <w:r w:rsidRPr="00F4249F">
        <w:rPr>
          <w:rFonts w:cs="Arial"/>
          <w:sz w:val="20"/>
          <w:szCs w:val="20"/>
        </w:rPr>
        <w:t xml:space="preserve">, Tammela T, </w:t>
      </w:r>
      <w:proofErr w:type="spellStart"/>
      <w:r w:rsidRPr="00F4249F">
        <w:rPr>
          <w:rFonts w:cs="Arial"/>
          <w:sz w:val="20"/>
          <w:szCs w:val="20"/>
        </w:rPr>
        <w:t>Kerper</w:t>
      </w:r>
      <w:proofErr w:type="spellEnd"/>
      <w:r w:rsidRPr="00F4249F">
        <w:rPr>
          <w:rFonts w:cs="Arial"/>
          <w:sz w:val="20"/>
          <w:szCs w:val="20"/>
        </w:rPr>
        <w:t xml:space="preserve"> NR, </w:t>
      </w:r>
      <w:proofErr w:type="spellStart"/>
      <w:r w:rsidRPr="00F4249F">
        <w:rPr>
          <w:rFonts w:cs="Arial"/>
          <w:sz w:val="20"/>
          <w:szCs w:val="20"/>
        </w:rPr>
        <w:t>Farago</w:t>
      </w:r>
      <w:proofErr w:type="spellEnd"/>
      <w:r w:rsidRPr="00F4249F">
        <w:rPr>
          <w:rFonts w:cs="Arial"/>
          <w:sz w:val="20"/>
          <w:szCs w:val="20"/>
        </w:rPr>
        <w:t xml:space="preserve"> AF, Robbins R, Crowley DM, Bronson RT, Jacks T. </w:t>
      </w:r>
      <w:r w:rsidRPr="00F4249F">
        <w:rPr>
          <w:rFonts w:cs="Arial"/>
          <w:bCs/>
          <w:sz w:val="20"/>
          <w:szCs w:val="20"/>
        </w:rPr>
        <w:t xml:space="preserve">Regulatory T cells in tumor-associated tertiary lymphoid structures suppress anti-tumor T cell responses. </w:t>
      </w:r>
      <w:r w:rsidRPr="00F4249F">
        <w:rPr>
          <w:rFonts w:cs="Arial"/>
          <w:i/>
          <w:sz w:val="20"/>
          <w:szCs w:val="20"/>
        </w:rPr>
        <w:t>Immunity</w:t>
      </w:r>
      <w:r w:rsidRPr="00F4249F">
        <w:rPr>
          <w:rFonts w:cs="Arial"/>
          <w:sz w:val="20"/>
          <w:szCs w:val="20"/>
        </w:rPr>
        <w:t xml:space="preserve"> (2015) 43: 579-590.</w:t>
      </w:r>
    </w:p>
    <w:p w14:paraId="703C9BFD" w14:textId="77777777" w:rsidR="008F59FC" w:rsidRPr="00BF7F65" w:rsidRDefault="008F59FC" w:rsidP="00BF7F65">
      <w:pPr>
        <w:rPr>
          <w:szCs w:val="22"/>
        </w:rPr>
      </w:pPr>
    </w:p>
    <w:p w14:paraId="05C6F8C5" w14:textId="160FFBD4" w:rsidR="003A2DC5" w:rsidRPr="008F59FC" w:rsidRDefault="008F4999" w:rsidP="008F59FC">
      <w:pPr>
        <w:pStyle w:val="ListParagraph"/>
        <w:numPr>
          <w:ilvl w:val="0"/>
          <w:numId w:val="20"/>
        </w:numPr>
        <w:rPr>
          <w:szCs w:val="22"/>
        </w:rPr>
      </w:pPr>
      <w:r w:rsidRPr="005E4F58">
        <w:rPr>
          <w:rFonts w:cs="Helvetica"/>
          <w:color w:val="000000"/>
          <w:szCs w:val="22"/>
        </w:rPr>
        <w:t xml:space="preserve">While the role of the </w:t>
      </w:r>
      <w:proofErr w:type="spellStart"/>
      <w:r w:rsidRPr="005E4F58">
        <w:rPr>
          <w:rFonts w:cs="Helvetica"/>
          <w:color w:val="000000"/>
          <w:szCs w:val="22"/>
        </w:rPr>
        <w:t>polycomb</w:t>
      </w:r>
      <w:proofErr w:type="spellEnd"/>
      <w:r w:rsidRPr="005E4F58">
        <w:rPr>
          <w:rFonts w:cs="Helvetica"/>
          <w:color w:val="000000"/>
          <w:szCs w:val="22"/>
        </w:rPr>
        <w:t xml:space="preserve"> genes in maintaining cellular fate decisions during development is established, their role in maintaining the identity of mature, differentiated cells after cellular activation is less clear. </w:t>
      </w:r>
      <w:r>
        <w:rPr>
          <w:rFonts w:cs="Helvetica"/>
          <w:color w:val="000000"/>
          <w:szCs w:val="22"/>
        </w:rPr>
        <w:t>As a postdoctoral fellow</w:t>
      </w:r>
      <w:r w:rsidRPr="005E4F58">
        <w:rPr>
          <w:rFonts w:cs="Helvetica"/>
          <w:color w:val="000000"/>
          <w:szCs w:val="22"/>
        </w:rPr>
        <w:t xml:space="preserve">, I identified Ezh2 as an epigenetic modifier induced by CD28 co-stimulation, thus </w:t>
      </w:r>
      <w:r w:rsidRPr="005E4F58">
        <w:rPr>
          <w:szCs w:val="22"/>
        </w:rPr>
        <w:t xml:space="preserve">connecting an established extracellular cue required for </w:t>
      </w:r>
      <w:proofErr w:type="spellStart"/>
      <w:r w:rsidRPr="005E4F58">
        <w:rPr>
          <w:szCs w:val="22"/>
        </w:rPr>
        <w:t>T</w:t>
      </w:r>
      <w:r w:rsidRPr="005E4F58">
        <w:rPr>
          <w:szCs w:val="22"/>
          <w:vertAlign w:val="subscript"/>
        </w:rPr>
        <w:t>reg</w:t>
      </w:r>
      <w:proofErr w:type="spellEnd"/>
      <w:r w:rsidRPr="005E4F58">
        <w:rPr>
          <w:szCs w:val="22"/>
        </w:rPr>
        <w:t xml:space="preserve"> maintenance with an epigenetic regulator of cell identity.</w:t>
      </w:r>
      <w:r>
        <w:rPr>
          <w:rFonts w:cs="Helvetica"/>
          <w:color w:val="000000"/>
          <w:szCs w:val="22"/>
        </w:rPr>
        <w:t xml:space="preserve"> </w:t>
      </w:r>
      <w:r w:rsidRPr="002910E0">
        <w:rPr>
          <w:rFonts w:cs="Helvetica"/>
          <w:color w:val="000000"/>
          <w:szCs w:val="22"/>
        </w:rPr>
        <w:t xml:space="preserve">Mice with Ezh2-deficient </w:t>
      </w:r>
      <w:proofErr w:type="spellStart"/>
      <w:r w:rsidRPr="002910E0">
        <w:rPr>
          <w:rFonts w:cs="Helvetica"/>
          <w:color w:val="000000"/>
          <w:szCs w:val="22"/>
        </w:rPr>
        <w:t>T</w:t>
      </w:r>
      <w:r w:rsidRPr="00840147">
        <w:rPr>
          <w:rFonts w:cs="Helvetica"/>
          <w:color w:val="000000"/>
          <w:szCs w:val="22"/>
          <w:vertAlign w:val="subscript"/>
        </w:rPr>
        <w:t>reg</w:t>
      </w:r>
      <w:proofErr w:type="spellEnd"/>
      <w:r>
        <w:rPr>
          <w:rFonts w:cs="Helvetica"/>
          <w:color w:val="000000"/>
          <w:szCs w:val="22"/>
        </w:rPr>
        <w:t xml:space="preserve"> cells fail to maintain immune tolerance, develop</w:t>
      </w:r>
      <w:r w:rsidRPr="002910E0">
        <w:rPr>
          <w:rFonts w:cs="Helvetica"/>
          <w:color w:val="000000"/>
          <w:szCs w:val="22"/>
        </w:rPr>
        <w:t xml:space="preserve"> </w:t>
      </w:r>
      <w:r>
        <w:rPr>
          <w:rFonts w:cs="Helvetica"/>
          <w:color w:val="000000"/>
          <w:szCs w:val="22"/>
        </w:rPr>
        <w:t>multi-organ autoimmunity, and a</w:t>
      </w:r>
      <w:r w:rsidRPr="002910E0">
        <w:rPr>
          <w:rFonts w:cs="Helvetica"/>
          <w:color w:val="000000"/>
          <w:szCs w:val="22"/>
        </w:rPr>
        <w:t xml:space="preserve">re incapable of resolving inflammation in CNS tissues upon acute induction of autoimmunity </w:t>
      </w:r>
      <w:r>
        <w:rPr>
          <w:rFonts w:cs="Helvetica"/>
          <w:color w:val="000000"/>
          <w:szCs w:val="22"/>
        </w:rPr>
        <w:t xml:space="preserve">(EAE). </w:t>
      </w:r>
      <w:r w:rsidRPr="002910E0">
        <w:rPr>
          <w:rFonts w:cs="Helvetica"/>
          <w:color w:val="000000"/>
          <w:szCs w:val="22"/>
        </w:rPr>
        <w:t>Ezh2-deficiency</w:t>
      </w:r>
      <w:r>
        <w:rPr>
          <w:rFonts w:cs="Helvetica"/>
          <w:color w:val="000000"/>
          <w:szCs w:val="22"/>
        </w:rPr>
        <w:t xml:space="preserve"> selectively disrupts </w:t>
      </w:r>
      <w:proofErr w:type="spellStart"/>
      <w:r>
        <w:rPr>
          <w:rFonts w:cs="Helvetica"/>
          <w:color w:val="000000"/>
          <w:szCs w:val="22"/>
        </w:rPr>
        <w:t>T</w:t>
      </w:r>
      <w:r w:rsidRPr="00840147">
        <w:rPr>
          <w:rFonts w:cs="Helvetica"/>
          <w:color w:val="000000"/>
          <w:szCs w:val="22"/>
          <w:vertAlign w:val="subscript"/>
        </w:rPr>
        <w:t>regs</w:t>
      </w:r>
      <w:proofErr w:type="spellEnd"/>
      <w:r w:rsidR="00473415">
        <w:rPr>
          <w:rFonts w:cs="Helvetica"/>
          <w:color w:val="000000"/>
          <w:szCs w:val="22"/>
          <w:vertAlign w:val="subscript"/>
        </w:rPr>
        <w:t xml:space="preserve"> </w:t>
      </w:r>
      <w:r w:rsidR="00473415">
        <w:rPr>
          <w:rFonts w:cs="Helvetica"/>
          <w:color w:val="000000"/>
          <w:szCs w:val="22"/>
        </w:rPr>
        <w:t xml:space="preserve">after activation, severely compromising the </w:t>
      </w:r>
      <w:r>
        <w:rPr>
          <w:rFonts w:cs="Helvetica"/>
          <w:color w:val="000000"/>
          <w:szCs w:val="22"/>
        </w:rPr>
        <w:t>Foxp3-de</w:t>
      </w:r>
      <w:r w:rsidR="00473415">
        <w:rPr>
          <w:rFonts w:cs="Helvetica"/>
          <w:color w:val="000000"/>
          <w:szCs w:val="22"/>
        </w:rPr>
        <w:t>pendent gene expression program</w:t>
      </w:r>
      <w:r w:rsidR="00B1189D">
        <w:rPr>
          <w:rFonts w:cs="Helvetica"/>
          <w:color w:val="000000"/>
          <w:szCs w:val="22"/>
        </w:rPr>
        <w:t xml:space="preserve"> and </w:t>
      </w:r>
      <w:proofErr w:type="spellStart"/>
      <w:r w:rsidR="00B1189D" w:rsidRPr="005E4F58">
        <w:rPr>
          <w:szCs w:val="22"/>
        </w:rPr>
        <w:t>T</w:t>
      </w:r>
      <w:r w:rsidR="00B1189D" w:rsidRPr="005E4F58">
        <w:rPr>
          <w:szCs w:val="22"/>
          <w:vertAlign w:val="subscript"/>
        </w:rPr>
        <w:t>reg</w:t>
      </w:r>
      <w:proofErr w:type="spellEnd"/>
      <w:r w:rsidR="00B1189D" w:rsidRPr="005E4F58">
        <w:rPr>
          <w:szCs w:val="22"/>
        </w:rPr>
        <w:t xml:space="preserve"> </w:t>
      </w:r>
      <w:r w:rsidRPr="002910E0">
        <w:rPr>
          <w:rFonts w:cs="Helvetica"/>
          <w:color w:val="000000"/>
          <w:szCs w:val="22"/>
        </w:rPr>
        <w:t>li</w:t>
      </w:r>
      <w:r w:rsidR="00B1189D">
        <w:rPr>
          <w:rFonts w:cs="Helvetica"/>
          <w:color w:val="000000"/>
          <w:szCs w:val="22"/>
        </w:rPr>
        <w:t xml:space="preserve">neage </w:t>
      </w:r>
      <w:r>
        <w:rPr>
          <w:rFonts w:cs="Helvetica"/>
          <w:color w:val="000000"/>
          <w:szCs w:val="22"/>
        </w:rPr>
        <w:t>stability. Thus, Ezh2</w:t>
      </w:r>
      <w:r w:rsidRPr="002910E0">
        <w:rPr>
          <w:rFonts w:cs="Helvetica"/>
          <w:color w:val="000000"/>
          <w:szCs w:val="22"/>
        </w:rPr>
        <w:t xml:space="preserve"> coordinate</w:t>
      </w:r>
      <w:r>
        <w:rPr>
          <w:rFonts w:cs="Helvetica"/>
          <w:color w:val="000000"/>
          <w:szCs w:val="22"/>
        </w:rPr>
        <w:t>s</w:t>
      </w:r>
      <w:r w:rsidRPr="002910E0">
        <w:rPr>
          <w:rFonts w:cs="Helvetica"/>
          <w:color w:val="000000"/>
          <w:szCs w:val="22"/>
        </w:rPr>
        <w:t xml:space="preserve"> cell</w:t>
      </w:r>
      <w:r>
        <w:rPr>
          <w:rFonts w:cs="Helvetica"/>
          <w:color w:val="000000"/>
          <w:szCs w:val="22"/>
        </w:rPr>
        <w:t xml:space="preserve">ular activation and the maintenance of cellular identity by </w:t>
      </w:r>
      <w:r w:rsidRPr="002910E0">
        <w:rPr>
          <w:rFonts w:cs="Helvetica"/>
          <w:color w:val="000000"/>
          <w:szCs w:val="22"/>
        </w:rPr>
        <w:t xml:space="preserve">directly responding to extracellular cues that drive proliferation (CD28 co-stimulation) and functioning with lineage specifying transcription factors (Foxp3) to reinforce the cells’ transcriptional program. In the context of the adaptive immune system, where the activation and expansion of subsets of cells with unique specificities is essential, epigenetic regulation of the fidelity of cell identity is paramount. </w:t>
      </w:r>
      <w:r>
        <w:rPr>
          <w:rFonts w:cs="Helvetica"/>
          <w:color w:val="000000"/>
          <w:szCs w:val="22"/>
        </w:rPr>
        <w:t>This</w:t>
      </w:r>
      <w:r w:rsidRPr="002910E0">
        <w:rPr>
          <w:rFonts w:cs="Helvetica"/>
          <w:color w:val="000000"/>
          <w:szCs w:val="22"/>
        </w:rPr>
        <w:t xml:space="preserve"> </w:t>
      </w:r>
      <w:r>
        <w:rPr>
          <w:rFonts w:cs="Helvetica"/>
          <w:color w:val="000000"/>
          <w:szCs w:val="22"/>
        </w:rPr>
        <w:t xml:space="preserve">is </w:t>
      </w:r>
      <w:r w:rsidRPr="002910E0">
        <w:rPr>
          <w:rFonts w:cs="Helvetica"/>
          <w:color w:val="000000"/>
          <w:szCs w:val="22"/>
        </w:rPr>
        <w:t xml:space="preserve">especially important in the context of inflamed tissues where activated </w:t>
      </w:r>
      <w:proofErr w:type="spellStart"/>
      <w:r w:rsidRPr="002910E0">
        <w:rPr>
          <w:rFonts w:cs="Helvetica"/>
          <w:color w:val="000000"/>
          <w:szCs w:val="22"/>
        </w:rPr>
        <w:t>T</w:t>
      </w:r>
      <w:r w:rsidRPr="00840147">
        <w:rPr>
          <w:rFonts w:cs="Helvetica"/>
          <w:color w:val="000000"/>
          <w:szCs w:val="22"/>
          <w:vertAlign w:val="subscript"/>
        </w:rPr>
        <w:t>reg</w:t>
      </w:r>
      <w:proofErr w:type="spellEnd"/>
      <w:r w:rsidRPr="002910E0">
        <w:rPr>
          <w:rFonts w:cs="Helvetica"/>
          <w:color w:val="000000"/>
          <w:szCs w:val="22"/>
        </w:rPr>
        <w:t xml:space="preserve"> cells must preserve their cor</w:t>
      </w:r>
      <w:r>
        <w:rPr>
          <w:rFonts w:cs="Helvetica"/>
          <w:color w:val="000000"/>
          <w:szCs w:val="22"/>
        </w:rPr>
        <w:t xml:space="preserve">e gene </w:t>
      </w:r>
      <w:r w:rsidRPr="002910E0">
        <w:rPr>
          <w:rFonts w:cs="Helvetica"/>
          <w:color w:val="000000"/>
          <w:szCs w:val="22"/>
        </w:rPr>
        <w:t>expression program in the face of a complex milieu of extracellular cues.</w:t>
      </w:r>
      <w:r w:rsidRPr="008F4999">
        <w:rPr>
          <w:szCs w:val="22"/>
        </w:rPr>
        <w:t xml:space="preserve"> </w:t>
      </w:r>
      <w:r w:rsidR="00B1189D">
        <w:rPr>
          <w:rFonts w:cs="Minion Pro SmBd"/>
          <w:bCs/>
          <w:color w:val="141413"/>
          <w:szCs w:val="22"/>
        </w:rPr>
        <w:t xml:space="preserve">In addition to environmental cues from the CD28 receptor, </w:t>
      </w:r>
      <w:proofErr w:type="spellStart"/>
      <w:r w:rsidR="00B1189D">
        <w:rPr>
          <w:rFonts w:cs="Minion Pro SmBd"/>
          <w:bCs/>
          <w:color w:val="141413"/>
          <w:szCs w:val="22"/>
        </w:rPr>
        <w:t>T</w:t>
      </w:r>
      <w:r w:rsidR="00B1189D" w:rsidRPr="00265583">
        <w:rPr>
          <w:rFonts w:cs="Minion Pro SmBd"/>
          <w:bCs/>
          <w:color w:val="141413"/>
          <w:szCs w:val="22"/>
          <w:vertAlign w:val="subscript"/>
        </w:rPr>
        <w:t>reg</w:t>
      </w:r>
      <w:proofErr w:type="spellEnd"/>
      <w:r w:rsidR="00B1189D">
        <w:rPr>
          <w:rFonts w:cs="Minion Pro SmBd"/>
          <w:bCs/>
          <w:color w:val="141413"/>
          <w:szCs w:val="22"/>
        </w:rPr>
        <w:t xml:space="preserve"> homeostasis and stability requires environmental sensing of the IL-2 cytokine, which is enhanced in </w:t>
      </w:r>
      <w:proofErr w:type="spellStart"/>
      <w:r w:rsidR="00B1189D">
        <w:rPr>
          <w:rFonts w:cs="Minion Pro SmBd"/>
          <w:bCs/>
          <w:color w:val="141413"/>
          <w:szCs w:val="22"/>
        </w:rPr>
        <w:t>T</w:t>
      </w:r>
      <w:r w:rsidR="00B1189D" w:rsidRPr="003E45E2">
        <w:rPr>
          <w:rFonts w:cs="Minion Pro SmBd"/>
          <w:bCs/>
          <w:color w:val="141413"/>
          <w:szCs w:val="22"/>
          <w:vertAlign w:val="subscript"/>
        </w:rPr>
        <w:t>regs</w:t>
      </w:r>
      <w:proofErr w:type="spellEnd"/>
      <w:r w:rsidR="00B1189D">
        <w:rPr>
          <w:rFonts w:cs="Minion Pro SmBd"/>
          <w:bCs/>
          <w:color w:val="141413"/>
          <w:szCs w:val="22"/>
        </w:rPr>
        <w:t xml:space="preserve"> by the constitutive expression of the high affinity IL-2 receptor alpha chain (CD25). </w:t>
      </w:r>
      <w:r w:rsidR="00B1189D">
        <w:t xml:space="preserve">Importantly, in </w:t>
      </w:r>
      <w:r w:rsidR="00B1189D" w:rsidRPr="00206DB1">
        <w:t>mice and patients</w:t>
      </w:r>
      <w:r w:rsidR="00B1189D">
        <w:t xml:space="preserve"> with autoimmune disease, responding </w:t>
      </w:r>
      <w:proofErr w:type="spellStart"/>
      <w:r w:rsidR="00B1189D">
        <w:t>T</w:t>
      </w:r>
      <w:r w:rsidR="00B1189D" w:rsidRPr="003E45E2">
        <w:rPr>
          <w:vertAlign w:val="subscript"/>
        </w:rPr>
        <w:t>regs</w:t>
      </w:r>
      <w:proofErr w:type="spellEnd"/>
      <w:r w:rsidR="00B1189D">
        <w:t xml:space="preserve"> in inflamed tissues commonly exhibit </w:t>
      </w:r>
      <w:r w:rsidR="00B1189D" w:rsidRPr="00206DB1">
        <w:t xml:space="preserve">defects in </w:t>
      </w:r>
      <w:r w:rsidR="00B1189D">
        <w:t xml:space="preserve">IL-2 responsiveness, often due to reduced expression of CD25. </w:t>
      </w:r>
      <w:r w:rsidR="00B1189D">
        <w:rPr>
          <w:rFonts w:cs="Minion Pro SmBd"/>
          <w:bCs/>
          <w:color w:val="141413"/>
          <w:szCs w:val="22"/>
        </w:rPr>
        <w:t xml:space="preserve">IL-2 engagement of its receptor triggers the activation of two major signaling nodes – the STAT5 and </w:t>
      </w:r>
      <w:proofErr w:type="spellStart"/>
      <w:r w:rsidR="00B1189D" w:rsidRPr="00206DB1">
        <w:t>phoshoinositide</w:t>
      </w:r>
      <w:proofErr w:type="spellEnd"/>
      <w:r w:rsidR="00B1189D" w:rsidRPr="00206DB1">
        <w:t xml:space="preserve"> 3-kinase</w:t>
      </w:r>
      <w:r w:rsidR="00B1189D">
        <w:rPr>
          <w:rFonts w:cs="Minion Pro SmBd"/>
          <w:bCs/>
          <w:color w:val="141413"/>
          <w:szCs w:val="22"/>
        </w:rPr>
        <w:t xml:space="preserve"> (PI3K) pathways. While STAT5 activity is essential for </w:t>
      </w:r>
      <w:proofErr w:type="spellStart"/>
      <w:r w:rsidR="00B1189D">
        <w:rPr>
          <w:rFonts w:cs="Minion Pro SmBd"/>
          <w:bCs/>
          <w:color w:val="141413"/>
          <w:szCs w:val="22"/>
        </w:rPr>
        <w:t>T</w:t>
      </w:r>
      <w:r w:rsidR="00B1189D" w:rsidRPr="003E45E2">
        <w:rPr>
          <w:rFonts w:cs="Minion Pro SmBd"/>
          <w:bCs/>
          <w:color w:val="141413"/>
          <w:szCs w:val="22"/>
          <w:vertAlign w:val="subscript"/>
        </w:rPr>
        <w:t>reg</w:t>
      </w:r>
      <w:proofErr w:type="spellEnd"/>
      <w:r w:rsidR="00B1189D">
        <w:rPr>
          <w:rFonts w:cs="Minion Pro SmBd"/>
          <w:bCs/>
          <w:color w:val="141413"/>
          <w:szCs w:val="22"/>
        </w:rPr>
        <w:t xml:space="preserve"> maintenance, </w:t>
      </w:r>
      <w:proofErr w:type="spellStart"/>
      <w:r w:rsidR="00B1189D">
        <w:rPr>
          <w:rFonts w:cs="Minion Pro SmBd"/>
          <w:bCs/>
          <w:color w:val="141413"/>
          <w:szCs w:val="22"/>
        </w:rPr>
        <w:t>T</w:t>
      </w:r>
      <w:r w:rsidR="00B1189D" w:rsidRPr="003E45E2">
        <w:rPr>
          <w:rFonts w:cs="Minion Pro SmBd"/>
          <w:bCs/>
          <w:color w:val="141413"/>
          <w:szCs w:val="22"/>
          <w:vertAlign w:val="subscript"/>
        </w:rPr>
        <w:t>regs</w:t>
      </w:r>
      <w:proofErr w:type="spellEnd"/>
      <w:r w:rsidR="00B1189D">
        <w:rPr>
          <w:rFonts w:cs="Minion Pro SmBd"/>
          <w:bCs/>
          <w:color w:val="141413"/>
          <w:szCs w:val="22"/>
        </w:rPr>
        <w:t xml:space="preserve">, in opposition to effector T cells, do not trigger strong activation of PI3K or the downstream kinase </w:t>
      </w:r>
      <w:proofErr w:type="spellStart"/>
      <w:r w:rsidR="00B1189D">
        <w:rPr>
          <w:rFonts w:cs="Minion Pro SmBd"/>
          <w:bCs/>
          <w:color w:val="141413"/>
          <w:szCs w:val="22"/>
        </w:rPr>
        <w:t>Akt</w:t>
      </w:r>
      <w:proofErr w:type="spellEnd"/>
      <w:r w:rsidR="00B1189D">
        <w:rPr>
          <w:rFonts w:cs="Minion Pro SmBd"/>
          <w:bCs/>
          <w:color w:val="141413"/>
          <w:szCs w:val="22"/>
        </w:rPr>
        <w:t xml:space="preserve">. I generated mice with </w:t>
      </w:r>
      <w:proofErr w:type="spellStart"/>
      <w:r w:rsidR="00B1189D">
        <w:rPr>
          <w:rFonts w:cs="Minion Pro SmBd"/>
          <w:bCs/>
          <w:color w:val="141413"/>
          <w:szCs w:val="22"/>
        </w:rPr>
        <w:t>T</w:t>
      </w:r>
      <w:r w:rsidR="00B1189D" w:rsidRPr="003E45E2">
        <w:rPr>
          <w:rFonts w:cs="Minion Pro SmBd"/>
          <w:bCs/>
          <w:color w:val="141413"/>
          <w:szCs w:val="22"/>
          <w:vertAlign w:val="subscript"/>
        </w:rPr>
        <w:t>reg</w:t>
      </w:r>
      <w:proofErr w:type="spellEnd"/>
      <w:r w:rsidR="00B1189D">
        <w:rPr>
          <w:rFonts w:cs="Minion Pro SmBd"/>
          <w:bCs/>
          <w:color w:val="141413"/>
          <w:szCs w:val="22"/>
        </w:rPr>
        <w:t>-specific deletion of PTEN (a lipid phosphatase that opposes the activity of PI3K)</w:t>
      </w:r>
      <w:r w:rsidR="00B1189D" w:rsidRPr="00B1189D">
        <w:rPr>
          <w:rFonts w:cs="Minion Pro SmBd"/>
          <w:bCs/>
          <w:color w:val="141413"/>
          <w:szCs w:val="22"/>
        </w:rPr>
        <w:t xml:space="preserve"> </w:t>
      </w:r>
      <w:r w:rsidR="00B1189D">
        <w:rPr>
          <w:rFonts w:cs="Minion Pro SmBd"/>
          <w:bCs/>
          <w:color w:val="141413"/>
          <w:szCs w:val="22"/>
        </w:rPr>
        <w:t>and revealed that</w:t>
      </w:r>
      <w:r w:rsidR="00B1189D" w:rsidRPr="00104F1C">
        <w:t xml:space="preserve"> </w:t>
      </w:r>
      <w:r w:rsidR="00B1189D">
        <w:t>the uncontrolled activation of PI3K severely compromised</w:t>
      </w:r>
      <w:r w:rsidR="00B1189D" w:rsidRPr="00206DB1">
        <w:t xml:space="preserve"> </w:t>
      </w:r>
      <w:proofErr w:type="spellStart"/>
      <w:r w:rsidR="00B1189D" w:rsidRPr="00206DB1">
        <w:t>T</w:t>
      </w:r>
      <w:r w:rsidR="00B1189D" w:rsidRPr="003E45E2">
        <w:rPr>
          <w:vertAlign w:val="subscript"/>
        </w:rPr>
        <w:t>reg</w:t>
      </w:r>
      <w:proofErr w:type="spellEnd"/>
      <w:r w:rsidR="00B1189D">
        <w:t xml:space="preserve"> function</w:t>
      </w:r>
      <w:r w:rsidR="00B1189D" w:rsidRPr="00206DB1">
        <w:t xml:space="preserve"> </w:t>
      </w:r>
      <w:r w:rsidR="00B1189D">
        <w:t xml:space="preserve">and lineage stability. </w:t>
      </w:r>
      <w:proofErr w:type="spellStart"/>
      <w:r w:rsidR="00B1189D">
        <w:t>T</w:t>
      </w:r>
      <w:r w:rsidR="00B1189D" w:rsidRPr="003E45E2">
        <w:rPr>
          <w:vertAlign w:val="subscript"/>
        </w:rPr>
        <w:t>reg</w:t>
      </w:r>
      <w:proofErr w:type="spellEnd"/>
      <w:r w:rsidR="00B1189D">
        <w:t xml:space="preserve"> instability was due in part to the down-regulation of CD25 expression in response to elevated </w:t>
      </w:r>
      <w:proofErr w:type="spellStart"/>
      <w:r w:rsidR="00B1189D">
        <w:t>Akt</w:t>
      </w:r>
      <w:proofErr w:type="spellEnd"/>
      <w:r w:rsidR="00B1189D">
        <w:t xml:space="preserve"> activation. In addition, PTEN-deficient </w:t>
      </w:r>
      <w:proofErr w:type="spellStart"/>
      <w:r w:rsidR="00B1189D">
        <w:t>T</w:t>
      </w:r>
      <w:r w:rsidR="00B1189D" w:rsidRPr="003E45E2">
        <w:rPr>
          <w:vertAlign w:val="subscript"/>
        </w:rPr>
        <w:t>regs</w:t>
      </w:r>
      <w:proofErr w:type="spellEnd"/>
      <w:r w:rsidR="00B1189D">
        <w:t xml:space="preserve"> exhibited an altered metabolic state more similar to effector T cells. </w:t>
      </w:r>
      <w:r w:rsidR="00B1189D">
        <w:rPr>
          <w:rFonts w:cs="Arial"/>
          <w:szCs w:val="22"/>
        </w:rPr>
        <w:t>My results reveal</w:t>
      </w:r>
      <w:r w:rsidR="00387B93">
        <w:rPr>
          <w:rFonts w:cs="Arial"/>
          <w:szCs w:val="22"/>
        </w:rPr>
        <w:t>ed</w:t>
      </w:r>
      <w:r w:rsidR="00B1189D">
        <w:rPr>
          <w:rFonts w:cs="Arial"/>
          <w:szCs w:val="22"/>
        </w:rPr>
        <w:t xml:space="preserve"> that</w:t>
      </w:r>
      <w:r w:rsidR="00B1189D" w:rsidRPr="002A6489">
        <w:rPr>
          <w:rFonts w:cs="Arial"/>
          <w:szCs w:val="22"/>
        </w:rPr>
        <w:t xml:space="preserve"> </w:t>
      </w:r>
      <w:proofErr w:type="spellStart"/>
      <w:r w:rsidR="00B1189D" w:rsidRPr="002A6489">
        <w:rPr>
          <w:szCs w:val="22"/>
        </w:rPr>
        <w:t>T</w:t>
      </w:r>
      <w:r w:rsidR="00B1189D" w:rsidRPr="003E45E2">
        <w:rPr>
          <w:szCs w:val="22"/>
          <w:vertAlign w:val="subscript"/>
        </w:rPr>
        <w:t>regs</w:t>
      </w:r>
      <w:proofErr w:type="spellEnd"/>
      <w:r w:rsidR="00B1189D" w:rsidRPr="002A6489">
        <w:rPr>
          <w:szCs w:val="22"/>
        </w:rPr>
        <w:t xml:space="preserve"> </w:t>
      </w:r>
      <w:r w:rsidR="00B1189D">
        <w:rPr>
          <w:szCs w:val="22"/>
        </w:rPr>
        <w:t xml:space="preserve">utilize PTEN to </w:t>
      </w:r>
      <w:r w:rsidR="00B1189D" w:rsidRPr="002A6489">
        <w:rPr>
          <w:szCs w:val="22"/>
        </w:rPr>
        <w:t>finely control the balance of PI3K and STAT</w:t>
      </w:r>
      <w:r w:rsidR="00387B93">
        <w:rPr>
          <w:szCs w:val="22"/>
        </w:rPr>
        <w:t>5 signaling in response to IL-2</w:t>
      </w:r>
      <w:r w:rsidR="00387B93">
        <w:t xml:space="preserve">, </w:t>
      </w:r>
      <w:r w:rsidR="00B1189D">
        <w:t xml:space="preserve">an essential cytokine </w:t>
      </w:r>
      <w:r w:rsidR="00387B93">
        <w:t xml:space="preserve">sensed </w:t>
      </w:r>
      <w:r w:rsidR="00B1189D">
        <w:t xml:space="preserve">in their microenvironment. </w:t>
      </w:r>
      <w:r w:rsidR="00387B93">
        <w:rPr>
          <w:szCs w:val="22"/>
        </w:rPr>
        <w:t>All together, t</w:t>
      </w:r>
      <w:r w:rsidRPr="008F59FC">
        <w:rPr>
          <w:szCs w:val="22"/>
        </w:rPr>
        <w:t>hese findings bear high translational relevance, as smal</w:t>
      </w:r>
      <w:r w:rsidR="00B1189D">
        <w:rPr>
          <w:szCs w:val="22"/>
        </w:rPr>
        <w:t>l molecule drugs targeting Ezh2 and PI3K/</w:t>
      </w:r>
      <w:proofErr w:type="spellStart"/>
      <w:r w:rsidR="00B1189D">
        <w:rPr>
          <w:szCs w:val="22"/>
        </w:rPr>
        <w:t>Akt</w:t>
      </w:r>
      <w:proofErr w:type="spellEnd"/>
      <w:r w:rsidR="00B1189D">
        <w:rPr>
          <w:szCs w:val="22"/>
        </w:rPr>
        <w:t xml:space="preserve"> </w:t>
      </w:r>
      <w:r w:rsidRPr="008F59FC">
        <w:rPr>
          <w:szCs w:val="22"/>
        </w:rPr>
        <w:t xml:space="preserve">pathways are being tested in clinical trials as anti-cancer agents, </w:t>
      </w:r>
      <w:r w:rsidR="00792AA1">
        <w:rPr>
          <w:szCs w:val="22"/>
        </w:rPr>
        <w:t>creating</w:t>
      </w:r>
      <w:r w:rsidRPr="008F59FC">
        <w:rPr>
          <w:szCs w:val="22"/>
        </w:rPr>
        <w:t xml:space="preserve"> tremendous potential for repurposing such drugs to </w:t>
      </w:r>
      <w:r w:rsidR="00387B93">
        <w:rPr>
          <w:szCs w:val="22"/>
        </w:rPr>
        <w:t xml:space="preserve">simultaneously </w:t>
      </w:r>
      <w:r w:rsidRPr="008F59FC">
        <w:rPr>
          <w:szCs w:val="22"/>
        </w:rPr>
        <w:t>modulate immune c</w:t>
      </w:r>
      <w:r w:rsidR="00387B93">
        <w:rPr>
          <w:szCs w:val="22"/>
        </w:rPr>
        <w:t>ells in</w:t>
      </w:r>
      <w:r w:rsidR="00792AA1">
        <w:rPr>
          <w:szCs w:val="22"/>
        </w:rPr>
        <w:t xml:space="preserve"> the tumor microenvironment</w:t>
      </w:r>
      <w:r w:rsidRPr="008F59FC">
        <w:rPr>
          <w:szCs w:val="22"/>
        </w:rPr>
        <w:t xml:space="preserve">. Importantly, my </w:t>
      </w:r>
      <w:r w:rsidR="00387B93">
        <w:rPr>
          <w:szCs w:val="22"/>
        </w:rPr>
        <w:t xml:space="preserve">ongoing </w:t>
      </w:r>
      <w:r w:rsidRPr="008F59FC">
        <w:rPr>
          <w:szCs w:val="22"/>
        </w:rPr>
        <w:t xml:space="preserve">work has revealed that mice with Ezh2 deficient </w:t>
      </w:r>
      <w:proofErr w:type="spellStart"/>
      <w:r w:rsidRPr="008F59FC">
        <w:rPr>
          <w:szCs w:val="22"/>
        </w:rPr>
        <w:t>T</w:t>
      </w:r>
      <w:r w:rsidRPr="008F59FC">
        <w:rPr>
          <w:szCs w:val="22"/>
          <w:vertAlign w:val="subscript"/>
        </w:rPr>
        <w:t>regs</w:t>
      </w:r>
      <w:proofErr w:type="spellEnd"/>
      <w:r w:rsidRPr="008F59FC">
        <w:rPr>
          <w:szCs w:val="22"/>
        </w:rPr>
        <w:t xml:space="preserve"> are more resistant to the development of transplantable tumors, supporting the potential for Ezh2 inhibition to treat cancers by acting directly on tumors as well as on the immune microenvironment.</w:t>
      </w:r>
    </w:p>
    <w:p w14:paraId="496C4A96" w14:textId="29AEDDDB" w:rsidR="003A2DC5" w:rsidRPr="00864AC9" w:rsidRDefault="00864AC9" w:rsidP="00864AC9">
      <w:pPr>
        <w:pStyle w:val="ListParagraph"/>
        <w:numPr>
          <w:ilvl w:val="0"/>
          <w:numId w:val="22"/>
        </w:numPr>
        <w:rPr>
          <w:rFonts w:cs="Arial"/>
          <w:sz w:val="20"/>
          <w:szCs w:val="20"/>
        </w:rPr>
      </w:pPr>
      <w:r w:rsidRPr="00864AC9">
        <w:rPr>
          <w:rFonts w:cs="Arial"/>
          <w:sz w:val="20"/>
          <w:szCs w:val="20"/>
        </w:rPr>
        <w:t xml:space="preserve">Huynh A, </w:t>
      </w:r>
      <w:r w:rsidRPr="00864AC9">
        <w:rPr>
          <w:rFonts w:cs="Arial"/>
          <w:b/>
          <w:bCs/>
          <w:sz w:val="20"/>
          <w:szCs w:val="20"/>
        </w:rPr>
        <w:t>DuPage M</w:t>
      </w:r>
      <w:r w:rsidRPr="00864AC9">
        <w:rPr>
          <w:rFonts w:cs="Arial"/>
          <w:sz w:val="20"/>
          <w:szCs w:val="20"/>
        </w:rPr>
        <w:t xml:space="preserve">, </w:t>
      </w:r>
      <w:proofErr w:type="spellStart"/>
      <w:r w:rsidRPr="00864AC9">
        <w:rPr>
          <w:rFonts w:cs="Arial"/>
          <w:sz w:val="20"/>
          <w:szCs w:val="20"/>
        </w:rPr>
        <w:t>Priyadharshini</w:t>
      </w:r>
      <w:proofErr w:type="spellEnd"/>
      <w:r w:rsidRPr="00864AC9">
        <w:rPr>
          <w:rFonts w:cs="Arial"/>
          <w:sz w:val="20"/>
          <w:szCs w:val="20"/>
        </w:rPr>
        <w:t xml:space="preserve"> B, Sage PT, </w:t>
      </w:r>
      <w:proofErr w:type="spellStart"/>
      <w:r w:rsidRPr="00864AC9">
        <w:rPr>
          <w:rFonts w:cs="Arial"/>
          <w:sz w:val="20"/>
          <w:szCs w:val="20"/>
        </w:rPr>
        <w:t>Quiros</w:t>
      </w:r>
      <w:proofErr w:type="spellEnd"/>
      <w:r w:rsidRPr="00864AC9">
        <w:rPr>
          <w:rFonts w:cs="Arial"/>
          <w:sz w:val="20"/>
          <w:szCs w:val="20"/>
        </w:rPr>
        <w:t xml:space="preserve"> J, Borges CM, </w:t>
      </w:r>
      <w:proofErr w:type="spellStart"/>
      <w:r w:rsidRPr="00864AC9">
        <w:rPr>
          <w:rFonts w:cs="Arial"/>
          <w:sz w:val="20"/>
          <w:szCs w:val="20"/>
        </w:rPr>
        <w:t>Townamchai</w:t>
      </w:r>
      <w:proofErr w:type="spellEnd"/>
      <w:r w:rsidRPr="00864AC9">
        <w:rPr>
          <w:rFonts w:cs="Arial"/>
          <w:sz w:val="20"/>
          <w:szCs w:val="20"/>
        </w:rPr>
        <w:t xml:space="preserve"> N, </w:t>
      </w:r>
      <w:proofErr w:type="spellStart"/>
      <w:r w:rsidRPr="00864AC9">
        <w:rPr>
          <w:rFonts w:cs="Arial"/>
          <w:sz w:val="20"/>
          <w:szCs w:val="20"/>
        </w:rPr>
        <w:t>Gerriets</w:t>
      </w:r>
      <w:proofErr w:type="spellEnd"/>
      <w:r w:rsidRPr="00864AC9">
        <w:rPr>
          <w:rFonts w:cs="Arial"/>
          <w:sz w:val="20"/>
          <w:szCs w:val="20"/>
        </w:rPr>
        <w:t xml:space="preserve"> VA, </w:t>
      </w:r>
      <w:proofErr w:type="spellStart"/>
      <w:r w:rsidRPr="00864AC9">
        <w:rPr>
          <w:rFonts w:cs="Arial"/>
          <w:sz w:val="20"/>
          <w:szCs w:val="20"/>
        </w:rPr>
        <w:t>Rathmell</w:t>
      </w:r>
      <w:proofErr w:type="spellEnd"/>
      <w:r w:rsidRPr="00864AC9">
        <w:rPr>
          <w:rFonts w:cs="Arial"/>
          <w:sz w:val="20"/>
          <w:szCs w:val="20"/>
        </w:rPr>
        <w:t xml:space="preserve"> JC, Sharpe AH, Bluestone JA, </w:t>
      </w:r>
      <w:proofErr w:type="spellStart"/>
      <w:r w:rsidRPr="00864AC9">
        <w:rPr>
          <w:rFonts w:cs="Arial"/>
          <w:sz w:val="20"/>
          <w:szCs w:val="20"/>
        </w:rPr>
        <w:t>Turka</w:t>
      </w:r>
      <w:proofErr w:type="spellEnd"/>
      <w:r w:rsidRPr="00864AC9">
        <w:rPr>
          <w:rFonts w:cs="Arial"/>
          <w:sz w:val="20"/>
          <w:szCs w:val="20"/>
        </w:rPr>
        <w:t xml:space="preserve"> LA. Control of </w:t>
      </w:r>
      <w:proofErr w:type="gramStart"/>
      <w:r w:rsidRPr="00864AC9">
        <w:rPr>
          <w:rFonts w:cs="Arial"/>
          <w:sz w:val="20"/>
          <w:szCs w:val="20"/>
        </w:rPr>
        <w:t>PI(</w:t>
      </w:r>
      <w:proofErr w:type="gramEnd"/>
      <w:r w:rsidRPr="00864AC9">
        <w:rPr>
          <w:rFonts w:cs="Arial"/>
          <w:sz w:val="20"/>
          <w:szCs w:val="20"/>
        </w:rPr>
        <w:t xml:space="preserve">3) kinase in </w:t>
      </w:r>
      <w:proofErr w:type="spellStart"/>
      <w:r w:rsidRPr="00864AC9">
        <w:rPr>
          <w:rFonts w:cs="Arial"/>
          <w:sz w:val="20"/>
          <w:szCs w:val="20"/>
        </w:rPr>
        <w:t>Treg</w:t>
      </w:r>
      <w:proofErr w:type="spellEnd"/>
      <w:r w:rsidRPr="00864AC9">
        <w:rPr>
          <w:rFonts w:cs="Arial"/>
          <w:sz w:val="20"/>
          <w:szCs w:val="20"/>
        </w:rPr>
        <w:t xml:space="preserve"> cells maintains homeostasis and lineage stability. </w:t>
      </w:r>
      <w:r w:rsidRPr="00864AC9">
        <w:rPr>
          <w:rFonts w:cs="Arial"/>
          <w:i/>
          <w:sz w:val="20"/>
          <w:szCs w:val="20"/>
        </w:rPr>
        <w:t xml:space="preserve">Nat </w:t>
      </w:r>
      <w:proofErr w:type="spellStart"/>
      <w:r w:rsidRPr="00864AC9">
        <w:rPr>
          <w:rFonts w:cs="Arial"/>
          <w:i/>
          <w:sz w:val="20"/>
          <w:szCs w:val="20"/>
        </w:rPr>
        <w:t>Immunol</w:t>
      </w:r>
      <w:proofErr w:type="spellEnd"/>
      <w:r w:rsidRPr="00864AC9">
        <w:rPr>
          <w:rFonts w:cs="Arial"/>
          <w:sz w:val="20"/>
          <w:szCs w:val="20"/>
        </w:rPr>
        <w:t xml:space="preserve"> (2015) 16: 188-96.</w:t>
      </w:r>
    </w:p>
    <w:p w14:paraId="647F7D4C" w14:textId="20615A65" w:rsidR="00864AC9" w:rsidRPr="00864AC9" w:rsidRDefault="00864AC9" w:rsidP="00864AC9">
      <w:pPr>
        <w:ind w:left="360" w:firstLine="360"/>
        <w:rPr>
          <w:rFonts w:cs="Arial"/>
          <w:sz w:val="20"/>
          <w:szCs w:val="20"/>
        </w:rPr>
      </w:pPr>
      <w:r w:rsidRPr="00864AC9">
        <w:rPr>
          <w:rFonts w:cs="Arial"/>
          <w:bCs/>
          <w:sz w:val="20"/>
          <w:szCs w:val="20"/>
        </w:rPr>
        <w:lastRenderedPageBreak/>
        <w:t>b.</w:t>
      </w:r>
      <w:r w:rsidRPr="00864AC9">
        <w:rPr>
          <w:rFonts w:cs="Arial"/>
          <w:bCs/>
          <w:sz w:val="20"/>
          <w:szCs w:val="20"/>
        </w:rPr>
        <w:tab/>
      </w:r>
      <w:r w:rsidRPr="00864AC9">
        <w:rPr>
          <w:rFonts w:cs="Arial"/>
          <w:b/>
          <w:bCs/>
          <w:sz w:val="20"/>
          <w:szCs w:val="20"/>
        </w:rPr>
        <w:t>DuPage M</w:t>
      </w:r>
      <w:r w:rsidRPr="00864AC9">
        <w:rPr>
          <w:rFonts w:cs="Arial"/>
          <w:sz w:val="20"/>
          <w:szCs w:val="20"/>
        </w:rPr>
        <w:t xml:space="preserve">, Chopra G, </w:t>
      </w:r>
      <w:proofErr w:type="spellStart"/>
      <w:r w:rsidRPr="00864AC9">
        <w:rPr>
          <w:rFonts w:cs="Arial"/>
          <w:sz w:val="20"/>
          <w:szCs w:val="20"/>
        </w:rPr>
        <w:t>Quiros</w:t>
      </w:r>
      <w:proofErr w:type="spellEnd"/>
      <w:r w:rsidRPr="00864AC9">
        <w:rPr>
          <w:rFonts w:cs="Arial"/>
          <w:sz w:val="20"/>
          <w:szCs w:val="20"/>
        </w:rPr>
        <w:t xml:space="preserve"> J, Rosenthal WL, </w:t>
      </w:r>
      <w:proofErr w:type="spellStart"/>
      <w:r w:rsidRPr="00864AC9">
        <w:rPr>
          <w:rFonts w:cs="Arial"/>
          <w:sz w:val="20"/>
          <w:szCs w:val="20"/>
        </w:rPr>
        <w:t>Morar</w:t>
      </w:r>
      <w:proofErr w:type="spellEnd"/>
      <w:r w:rsidRPr="00864AC9">
        <w:rPr>
          <w:rFonts w:cs="Arial"/>
          <w:sz w:val="20"/>
          <w:szCs w:val="20"/>
        </w:rPr>
        <w:t xml:space="preserve"> MM, </w:t>
      </w:r>
      <w:proofErr w:type="spellStart"/>
      <w:r w:rsidRPr="00864AC9">
        <w:rPr>
          <w:rFonts w:cs="Arial"/>
          <w:sz w:val="20"/>
          <w:szCs w:val="20"/>
        </w:rPr>
        <w:t>Holohan</w:t>
      </w:r>
      <w:proofErr w:type="spellEnd"/>
      <w:r w:rsidRPr="00864AC9">
        <w:rPr>
          <w:rFonts w:cs="Arial"/>
          <w:sz w:val="20"/>
          <w:szCs w:val="20"/>
        </w:rPr>
        <w:t xml:space="preserve"> D, Zhang R, </w:t>
      </w:r>
      <w:proofErr w:type="spellStart"/>
      <w:r w:rsidRPr="00864AC9">
        <w:rPr>
          <w:rFonts w:cs="Arial"/>
          <w:sz w:val="20"/>
          <w:szCs w:val="20"/>
        </w:rPr>
        <w:t>Turka</w:t>
      </w:r>
      <w:proofErr w:type="spellEnd"/>
      <w:r w:rsidRPr="00864AC9">
        <w:rPr>
          <w:rFonts w:cs="Arial"/>
          <w:sz w:val="20"/>
          <w:szCs w:val="20"/>
        </w:rPr>
        <w:t xml:space="preserve"> L, </w:t>
      </w:r>
      <w:proofErr w:type="spellStart"/>
      <w:r w:rsidRPr="00864AC9">
        <w:rPr>
          <w:rFonts w:cs="Arial"/>
          <w:sz w:val="20"/>
          <w:szCs w:val="20"/>
        </w:rPr>
        <w:t>Marson</w:t>
      </w:r>
      <w:proofErr w:type="spellEnd"/>
      <w:r w:rsidRPr="00864AC9">
        <w:rPr>
          <w:rFonts w:cs="Arial"/>
          <w:sz w:val="20"/>
          <w:szCs w:val="20"/>
        </w:rPr>
        <w:t xml:space="preserve"> A,</w:t>
      </w:r>
    </w:p>
    <w:p w14:paraId="054B0296" w14:textId="63DBE6F5" w:rsidR="00864AC9" w:rsidRDefault="00864AC9" w:rsidP="00864AC9">
      <w:pPr>
        <w:ind w:left="1080"/>
        <w:rPr>
          <w:rFonts w:cs="Arial"/>
          <w:sz w:val="20"/>
          <w:szCs w:val="20"/>
        </w:rPr>
      </w:pPr>
      <w:r w:rsidRPr="00864AC9">
        <w:rPr>
          <w:rFonts w:cs="Arial"/>
          <w:sz w:val="20"/>
          <w:szCs w:val="20"/>
        </w:rPr>
        <w:t xml:space="preserve">Bluestone JA. The chromatin-modifying enzyme Ezh2 is critical for the maintenance of regulatory T cell identity after activation. </w:t>
      </w:r>
      <w:r w:rsidRPr="00864AC9">
        <w:rPr>
          <w:rFonts w:cs="Arial"/>
          <w:i/>
          <w:sz w:val="20"/>
          <w:szCs w:val="20"/>
        </w:rPr>
        <w:t>Immunity</w:t>
      </w:r>
      <w:r w:rsidRPr="00864AC9">
        <w:rPr>
          <w:rFonts w:cs="Arial"/>
          <w:sz w:val="20"/>
          <w:szCs w:val="20"/>
        </w:rPr>
        <w:t xml:space="preserve"> (2015) 42: 227-238.</w:t>
      </w:r>
    </w:p>
    <w:p w14:paraId="744E4029" w14:textId="77777777" w:rsidR="00864AC9" w:rsidRPr="00864AC9" w:rsidRDefault="00864AC9" w:rsidP="00864AC9">
      <w:pPr>
        <w:ind w:left="360" w:firstLine="360"/>
        <w:rPr>
          <w:rFonts w:cs="Calibri"/>
          <w:sz w:val="20"/>
          <w:szCs w:val="20"/>
        </w:rPr>
      </w:pPr>
      <w:r>
        <w:rPr>
          <w:rFonts w:cs="Arial"/>
          <w:sz w:val="20"/>
          <w:szCs w:val="20"/>
        </w:rPr>
        <w:t>c.</w:t>
      </w:r>
      <w:r>
        <w:rPr>
          <w:rFonts w:cs="Arial"/>
          <w:sz w:val="20"/>
          <w:szCs w:val="20"/>
        </w:rPr>
        <w:tab/>
      </w:r>
      <w:r w:rsidRPr="00864AC9">
        <w:rPr>
          <w:rFonts w:cs="Arial"/>
          <w:b/>
          <w:sz w:val="20"/>
          <w:szCs w:val="20"/>
        </w:rPr>
        <w:t>DuPage M</w:t>
      </w:r>
      <w:r w:rsidRPr="00864AC9">
        <w:rPr>
          <w:rFonts w:cs="Arial"/>
          <w:sz w:val="20"/>
          <w:szCs w:val="20"/>
        </w:rPr>
        <w:t xml:space="preserve">, Bluestone JA. </w:t>
      </w:r>
      <w:r w:rsidRPr="00864AC9">
        <w:rPr>
          <w:rFonts w:cs="Calibri"/>
          <w:sz w:val="20"/>
          <w:szCs w:val="20"/>
        </w:rPr>
        <w:t xml:space="preserve">Harnessing the plasticity of CD4+ T cells to treat immune-mediated disease.  </w:t>
      </w:r>
    </w:p>
    <w:p w14:paraId="06383879" w14:textId="7EC68E8C" w:rsidR="00864AC9" w:rsidRPr="00864AC9" w:rsidRDefault="00864AC9" w:rsidP="00864AC9">
      <w:pPr>
        <w:ind w:left="720" w:firstLine="360"/>
        <w:rPr>
          <w:rFonts w:cs="Arial"/>
          <w:sz w:val="20"/>
          <w:szCs w:val="20"/>
        </w:rPr>
      </w:pPr>
      <w:r w:rsidRPr="00864AC9">
        <w:rPr>
          <w:rFonts w:cs="Arial"/>
          <w:i/>
          <w:color w:val="262626"/>
          <w:sz w:val="20"/>
          <w:szCs w:val="20"/>
        </w:rPr>
        <w:t xml:space="preserve">Nat Rev </w:t>
      </w:r>
      <w:proofErr w:type="spellStart"/>
      <w:r w:rsidRPr="00864AC9">
        <w:rPr>
          <w:rFonts w:cs="Arial"/>
          <w:i/>
          <w:color w:val="262626"/>
          <w:sz w:val="20"/>
          <w:szCs w:val="20"/>
        </w:rPr>
        <w:t>Immunol</w:t>
      </w:r>
      <w:proofErr w:type="spellEnd"/>
      <w:r w:rsidRPr="00864AC9">
        <w:rPr>
          <w:rFonts w:cs="Arial"/>
          <w:i/>
          <w:color w:val="262626"/>
          <w:sz w:val="20"/>
          <w:szCs w:val="20"/>
        </w:rPr>
        <w:t xml:space="preserve"> </w:t>
      </w:r>
      <w:r w:rsidRPr="00864AC9">
        <w:rPr>
          <w:rFonts w:cs="Arial"/>
          <w:color w:val="262626"/>
          <w:sz w:val="20"/>
          <w:szCs w:val="20"/>
        </w:rPr>
        <w:t xml:space="preserve">(2016) </w:t>
      </w:r>
      <w:proofErr w:type="spellStart"/>
      <w:r w:rsidRPr="00864AC9">
        <w:rPr>
          <w:rFonts w:cs="Arial"/>
          <w:sz w:val="20"/>
          <w:szCs w:val="20"/>
        </w:rPr>
        <w:t>doi</w:t>
      </w:r>
      <w:proofErr w:type="spellEnd"/>
      <w:r w:rsidRPr="00864AC9">
        <w:rPr>
          <w:rFonts w:cs="Arial"/>
          <w:sz w:val="20"/>
          <w:szCs w:val="20"/>
        </w:rPr>
        <w:t xml:space="preserve">: 10.1038/nri.2015.18. </w:t>
      </w:r>
      <w:proofErr w:type="gramStart"/>
      <w:r w:rsidRPr="00864AC9">
        <w:rPr>
          <w:rFonts w:cs="Arial"/>
          <w:sz w:val="20"/>
          <w:szCs w:val="20"/>
        </w:rPr>
        <w:t>[</w:t>
      </w:r>
      <w:proofErr w:type="spellStart"/>
      <w:r w:rsidRPr="00864AC9">
        <w:rPr>
          <w:rFonts w:cs="Arial"/>
          <w:sz w:val="20"/>
          <w:szCs w:val="20"/>
        </w:rPr>
        <w:t>Epub</w:t>
      </w:r>
      <w:proofErr w:type="spellEnd"/>
      <w:r w:rsidRPr="00864AC9">
        <w:rPr>
          <w:rFonts w:cs="Arial"/>
          <w:sz w:val="20"/>
          <w:szCs w:val="20"/>
        </w:rPr>
        <w:t xml:space="preserve"> ahead of print]</w:t>
      </w:r>
      <w:r w:rsidRPr="00864AC9">
        <w:rPr>
          <w:rFonts w:cs="Arial"/>
          <w:color w:val="262626"/>
          <w:sz w:val="20"/>
          <w:szCs w:val="20"/>
        </w:rPr>
        <w:t>.</w:t>
      </w:r>
      <w:proofErr w:type="gramEnd"/>
    </w:p>
    <w:p w14:paraId="511853D9" w14:textId="77777777" w:rsidR="00961313" w:rsidRDefault="00961313" w:rsidP="003A2DC5">
      <w:pPr>
        <w:rPr>
          <w:szCs w:val="22"/>
        </w:rPr>
      </w:pPr>
    </w:p>
    <w:p w14:paraId="2D55993B" w14:textId="796A376D" w:rsidR="00961313" w:rsidRPr="00961313" w:rsidRDefault="00961313" w:rsidP="003A2DC5">
      <w:pPr>
        <w:rPr>
          <w:b/>
          <w:u w:val="single"/>
        </w:rPr>
      </w:pPr>
      <w:r w:rsidRPr="00961313">
        <w:rPr>
          <w:b/>
          <w:u w:val="single"/>
        </w:rPr>
        <w:t xml:space="preserve">Complete List of Published Work in </w:t>
      </w:r>
      <w:proofErr w:type="spellStart"/>
      <w:r w:rsidRPr="00961313">
        <w:rPr>
          <w:b/>
          <w:u w:val="single"/>
        </w:rPr>
        <w:t>MyBibliograph</w:t>
      </w:r>
      <w:r>
        <w:rPr>
          <w:b/>
          <w:u w:val="single"/>
        </w:rPr>
        <w:t>y</w:t>
      </w:r>
      <w:proofErr w:type="spellEnd"/>
    </w:p>
    <w:p w14:paraId="392FAEC0" w14:textId="1E47D124" w:rsidR="00961313" w:rsidRPr="00137C24" w:rsidRDefault="00900264" w:rsidP="00137C24">
      <w:pPr>
        <w:shd w:val="clear" w:color="auto" w:fill="FFFFFF"/>
        <w:wordWrap w:val="0"/>
        <w:spacing w:line="249" w:lineRule="atLeast"/>
        <w:rPr>
          <w:rFonts w:cs="Arial"/>
          <w:color w:val="000000"/>
          <w:szCs w:val="22"/>
        </w:rPr>
      </w:pPr>
      <w:hyperlink r:id="rId11" w:history="1">
        <w:r w:rsidR="00961313" w:rsidRPr="00961313">
          <w:rPr>
            <w:rStyle w:val="Hyperlink"/>
            <w:rFonts w:cs="Arial"/>
            <w:color w:val="551A8B"/>
            <w:szCs w:val="22"/>
            <w:bdr w:val="none" w:sz="0" w:space="0" w:color="auto" w:frame="1"/>
          </w:rPr>
          <w:t>http://www.ncbi.nlm.nih.gov/sites/myncbi/1HMNmEHlLD65G/bibliography/49721635/public/?sort=date&amp;direction=ascending</w:t>
        </w:r>
      </w:hyperlink>
    </w:p>
    <w:p w14:paraId="1E372644" w14:textId="77777777" w:rsidR="00900264" w:rsidRDefault="00900264" w:rsidP="00137C24"/>
    <w:p w14:paraId="1117336B" w14:textId="77777777" w:rsidR="00900264" w:rsidRPr="00900264" w:rsidRDefault="00900264" w:rsidP="00137C24">
      <w:pPr>
        <w:rPr>
          <w:b/>
        </w:rPr>
      </w:pPr>
      <w:r w:rsidRPr="00900264">
        <w:rPr>
          <w:b/>
        </w:rPr>
        <w:t xml:space="preserve">D. Additional Information: Research Support and/or Scholastic Performance </w:t>
      </w:r>
    </w:p>
    <w:p w14:paraId="50566A41" w14:textId="77777777" w:rsidR="00900264" w:rsidRDefault="00900264" w:rsidP="00137C24"/>
    <w:p w14:paraId="76276AB7" w14:textId="77777777" w:rsidR="00900264" w:rsidRPr="00900264" w:rsidRDefault="00900264" w:rsidP="00900264">
      <w:pPr>
        <w:pStyle w:val="Heading2"/>
        <w:jc w:val="left"/>
        <w:rPr>
          <w:sz w:val="22"/>
          <w:szCs w:val="22"/>
          <w:u w:val="single"/>
        </w:rPr>
      </w:pPr>
      <w:r w:rsidRPr="00900264">
        <w:rPr>
          <w:sz w:val="22"/>
          <w:szCs w:val="22"/>
          <w:u w:val="single"/>
        </w:rPr>
        <w:t>Ongoing Research Support</w:t>
      </w:r>
    </w:p>
    <w:p w14:paraId="551F3BDE" w14:textId="77777777" w:rsidR="00532342" w:rsidRDefault="00532342" w:rsidP="00900264">
      <w:pPr>
        <w:rPr>
          <w:szCs w:val="22"/>
        </w:rPr>
      </w:pPr>
    </w:p>
    <w:p w14:paraId="6135F281" w14:textId="0A06000F" w:rsidR="00900264" w:rsidRPr="00900264" w:rsidRDefault="00532342" w:rsidP="00900264">
      <w:pPr>
        <w:rPr>
          <w:szCs w:val="22"/>
        </w:rPr>
      </w:pPr>
      <w:r>
        <w:rPr>
          <w:szCs w:val="22"/>
        </w:rPr>
        <w:t>Parker Institute for Cancer Immunotherapy, UCSF</w:t>
      </w:r>
      <w:r w:rsidR="00900264" w:rsidRPr="00900264">
        <w:rPr>
          <w:szCs w:val="22"/>
        </w:rPr>
        <w:tab/>
      </w:r>
      <w:r w:rsidR="00900264" w:rsidRPr="00900264">
        <w:rPr>
          <w:szCs w:val="22"/>
        </w:rPr>
        <w:tab/>
      </w:r>
      <w:r w:rsidR="00900264">
        <w:rPr>
          <w:szCs w:val="22"/>
        </w:rPr>
        <w:t>DuPage</w:t>
      </w:r>
      <w:r>
        <w:rPr>
          <w:szCs w:val="22"/>
        </w:rPr>
        <w:t>/Spitzer (PI)</w:t>
      </w:r>
      <w:r>
        <w:rPr>
          <w:szCs w:val="22"/>
        </w:rPr>
        <w:tab/>
      </w:r>
      <w:r>
        <w:rPr>
          <w:szCs w:val="22"/>
        </w:rPr>
        <w:tab/>
      </w:r>
      <w:r>
        <w:rPr>
          <w:szCs w:val="22"/>
        </w:rPr>
        <w:tab/>
      </w:r>
      <w:r>
        <w:rPr>
          <w:szCs w:val="22"/>
        </w:rPr>
        <w:tab/>
      </w:r>
      <w:r>
        <w:rPr>
          <w:szCs w:val="22"/>
        </w:rPr>
        <w:tab/>
      </w:r>
      <w:r w:rsidR="00900264">
        <w:rPr>
          <w:szCs w:val="22"/>
        </w:rPr>
        <w:t>07/01/17-06/30</w:t>
      </w:r>
      <w:r w:rsidR="00900264" w:rsidRPr="00900264">
        <w:rPr>
          <w:szCs w:val="22"/>
        </w:rPr>
        <w:t>/1</w:t>
      </w:r>
      <w:r w:rsidR="00900264">
        <w:rPr>
          <w:szCs w:val="22"/>
        </w:rPr>
        <w:t>8</w:t>
      </w:r>
    </w:p>
    <w:p w14:paraId="6DA51ACC" w14:textId="32FB1E4E" w:rsidR="00900264" w:rsidRPr="00532342" w:rsidRDefault="00532342" w:rsidP="00900264">
      <w:pPr>
        <w:rPr>
          <w:rFonts w:cs="Arial"/>
          <w:szCs w:val="22"/>
        </w:rPr>
      </w:pPr>
      <w:r w:rsidRPr="00532342">
        <w:rPr>
          <w:rFonts w:cs="Arial"/>
          <w:bCs/>
          <w:color w:val="1A1F28"/>
          <w:szCs w:val="22"/>
        </w:rPr>
        <w:t xml:space="preserve">Harnessing mass </w:t>
      </w:r>
      <w:proofErr w:type="spellStart"/>
      <w:r w:rsidRPr="00532342">
        <w:rPr>
          <w:rFonts w:cs="Arial"/>
          <w:bCs/>
          <w:color w:val="1A1F28"/>
          <w:szCs w:val="22"/>
        </w:rPr>
        <w:t>cytometry</w:t>
      </w:r>
      <w:proofErr w:type="spellEnd"/>
      <w:r w:rsidRPr="00532342">
        <w:rPr>
          <w:rFonts w:cs="Arial"/>
          <w:bCs/>
          <w:color w:val="1A1F28"/>
          <w:szCs w:val="22"/>
        </w:rPr>
        <w:t xml:space="preserve"> to monitor the dynamics of T cell </w:t>
      </w:r>
      <w:proofErr w:type="spellStart"/>
      <w:r w:rsidRPr="00532342">
        <w:rPr>
          <w:rFonts w:cs="Arial"/>
          <w:bCs/>
          <w:color w:val="1A1F28"/>
          <w:szCs w:val="22"/>
        </w:rPr>
        <w:t>clonotype</w:t>
      </w:r>
      <w:proofErr w:type="spellEnd"/>
      <w:r w:rsidRPr="00532342">
        <w:rPr>
          <w:rFonts w:cs="Arial"/>
          <w:bCs/>
          <w:color w:val="1A1F28"/>
          <w:szCs w:val="22"/>
        </w:rPr>
        <w:t xml:space="preserve"> and phenotype in cancer progression and immunotherapy</w:t>
      </w:r>
    </w:p>
    <w:p w14:paraId="7201FF70" w14:textId="3B79D9D4" w:rsidR="00900264" w:rsidRPr="00532342" w:rsidRDefault="00532342" w:rsidP="00900264">
      <w:pPr>
        <w:rPr>
          <w:rFonts w:cs="Arial"/>
          <w:szCs w:val="22"/>
        </w:rPr>
      </w:pPr>
      <w:r w:rsidRPr="00532342">
        <w:rPr>
          <w:rFonts w:cs="Arial"/>
          <w:color w:val="1A1F28"/>
          <w:szCs w:val="22"/>
        </w:rPr>
        <w:t xml:space="preserve">The goal of this research is to adapt the mass </w:t>
      </w:r>
      <w:proofErr w:type="spellStart"/>
      <w:r w:rsidRPr="00532342">
        <w:rPr>
          <w:rFonts w:cs="Arial"/>
          <w:color w:val="1A1F28"/>
          <w:szCs w:val="22"/>
        </w:rPr>
        <w:t>cytometry</w:t>
      </w:r>
      <w:proofErr w:type="spellEnd"/>
      <w:r w:rsidRPr="00532342">
        <w:rPr>
          <w:rFonts w:cs="Arial"/>
          <w:color w:val="1A1F28"/>
          <w:szCs w:val="22"/>
        </w:rPr>
        <w:t xml:space="preserve"> platform to link T cell specificity to the functional, phenotype and anatomic location of tumor-reactive T cells during tumor progression and after immunotherapy.</w:t>
      </w:r>
      <w:r w:rsidR="00900264" w:rsidRPr="00532342">
        <w:rPr>
          <w:rFonts w:cs="Arial"/>
          <w:szCs w:val="22"/>
        </w:rPr>
        <w:t xml:space="preserve"> </w:t>
      </w:r>
    </w:p>
    <w:p w14:paraId="51B16B4A" w14:textId="6CCF416D" w:rsidR="00900264" w:rsidRDefault="00900264" w:rsidP="00900264">
      <w:pPr>
        <w:rPr>
          <w:szCs w:val="22"/>
        </w:rPr>
      </w:pPr>
      <w:r>
        <w:rPr>
          <w:szCs w:val="22"/>
        </w:rPr>
        <w:t>Role: Co-investigator</w:t>
      </w:r>
    </w:p>
    <w:p w14:paraId="4CA67D5F" w14:textId="77777777" w:rsidR="00532342" w:rsidRDefault="00532342" w:rsidP="00900264">
      <w:pPr>
        <w:rPr>
          <w:szCs w:val="22"/>
        </w:rPr>
      </w:pPr>
    </w:p>
    <w:p w14:paraId="6780D95A" w14:textId="77777777" w:rsidR="00532342" w:rsidRPr="00532342" w:rsidRDefault="00532342" w:rsidP="00532342">
      <w:pPr>
        <w:pStyle w:val="Heading2"/>
        <w:jc w:val="left"/>
        <w:rPr>
          <w:sz w:val="22"/>
          <w:szCs w:val="22"/>
          <w:u w:val="single"/>
        </w:rPr>
      </w:pPr>
      <w:r w:rsidRPr="00532342">
        <w:rPr>
          <w:sz w:val="22"/>
          <w:szCs w:val="22"/>
          <w:u w:val="single"/>
        </w:rPr>
        <w:t>Completed Research Support</w:t>
      </w:r>
    </w:p>
    <w:p w14:paraId="2A2479CF" w14:textId="77777777" w:rsidR="00532342" w:rsidRPr="00532342" w:rsidRDefault="00532342" w:rsidP="00532342">
      <w:pPr>
        <w:rPr>
          <w:szCs w:val="22"/>
        </w:rPr>
      </w:pPr>
    </w:p>
    <w:p w14:paraId="45D08D73" w14:textId="030DB1C6" w:rsidR="00900264" w:rsidRDefault="00532342" w:rsidP="00900264">
      <w:pPr>
        <w:rPr>
          <w:szCs w:val="22"/>
        </w:rPr>
      </w:pPr>
      <w:r>
        <w:rPr>
          <w:szCs w:val="22"/>
        </w:rPr>
        <w:t>Parker Institute for Cancer Immunotherapy, UCSF</w:t>
      </w:r>
      <w:r w:rsidRPr="00900264">
        <w:rPr>
          <w:szCs w:val="22"/>
        </w:rPr>
        <w:tab/>
      </w:r>
      <w:r w:rsidRPr="00900264">
        <w:rPr>
          <w:szCs w:val="22"/>
        </w:rPr>
        <w:tab/>
      </w:r>
      <w:r>
        <w:rPr>
          <w:szCs w:val="22"/>
        </w:rPr>
        <w:t>DuPage (PI)</w:t>
      </w:r>
      <w:r>
        <w:rPr>
          <w:szCs w:val="22"/>
        </w:rPr>
        <w:tab/>
      </w:r>
      <w:r>
        <w:rPr>
          <w:szCs w:val="22"/>
        </w:rPr>
        <w:tab/>
      </w:r>
      <w:r>
        <w:rPr>
          <w:szCs w:val="22"/>
        </w:rPr>
        <w:tab/>
      </w:r>
      <w:r>
        <w:rPr>
          <w:szCs w:val="22"/>
        </w:rPr>
        <w:tab/>
      </w:r>
      <w:r>
        <w:rPr>
          <w:szCs w:val="22"/>
        </w:rPr>
        <w:tab/>
        <w:t>07/01/16-06/30</w:t>
      </w:r>
      <w:r w:rsidRPr="00900264">
        <w:rPr>
          <w:szCs w:val="22"/>
        </w:rPr>
        <w:t>/1</w:t>
      </w:r>
      <w:r>
        <w:rPr>
          <w:szCs w:val="22"/>
        </w:rPr>
        <w:t>7</w:t>
      </w:r>
    </w:p>
    <w:p w14:paraId="248B3A47" w14:textId="7719534F" w:rsidR="00532342" w:rsidRPr="00532342" w:rsidRDefault="00532342" w:rsidP="00532342">
      <w:pPr>
        <w:rPr>
          <w:rFonts w:cs="Arial"/>
          <w:szCs w:val="22"/>
        </w:rPr>
      </w:pPr>
      <w:r w:rsidRPr="00532342">
        <w:rPr>
          <w:szCs w:val="22"/>
        </w:rPr>
        <w:t>Epigenetic control of regulatory T cell function in cancer and autoimmunity</w:t>
      </w:r>
    </w:p>
    <w:p w14:paraId="521B96C3" w14:textId="425023BD" w:rsidR="00137C24" w:rsidRDefault="00532342" w:rsidP="009D44AB">
      <w:pPr>
        <w:rPr>
          <w:rFonts w:cs="Arial"/>
          <w:szCs w:val="22"/>
        </w:rPr>
      </w:pPr>
      <w:r w:rsidRPr="00532342">
        <w:rPr>
          <w:rFonts w:cs="Arial"/>
          <w:color w:val="1A1F28"/>
          <w:szCs w:val="22"/>
        </w:rPr>
        <w:t xml:space="preserve">The goal of this research is </w:t>
      </w:r>
      <w:r w:rsidRPr="009D44AB">
        <w:rPr>
          <w:rFonts w:cs="Arial"/>
          <w:color w:val="1A1F28"/>
          <w:szCs w:val="22"/>
        </w:rPr>
        <w:t xml:space="preserve">to </w:t>
      </w:r>
      <w:r w:rsidR="009D44AB" w:rsidRPr="009D44AB">
        <w:rPr>
          <w:rFonts w:cs="Arial"/>
          <w:szCs w:val="22"/>
        </w:rPr>
        <w:t>identify and characterize key epigenetic mechanisms governing immune cell function in cancer, and target the pathways to selectively enhance the immune response against cancer while mitigating autoimmunity.</w:t>
      </w:r>
    </w:p>
    <w:p w14:paraId="7073DC0C" w14:textId="724C2408" w:rsidR="009D44AB" w:rsidRDefault="009D44AB" w:rsidP="009D44AB">
      <w:pPr>
        <w:rPr>
          <w:szCs w:val="22"/>
        </w:rPr>
      </w:pPr>
      <w:r>
        <w:rPr>
          <w:szCs w:val="22"/>
        </w:rPr>
        <w:t>Role: PI</w:t>
      </w:r>
    </w:p>
    <w:p w14:paraId="7AC4FDDE" w14:textId="77777777" w:rsidR="009D44AB" w:rsidRDefault="009D44AB" w:rsidP="009D44AB">
      <w:pPr>
        <w:rPr>
          <w:szCs w:val="22"/>
        </w:rPr>
      </w:pPr>
    </w:p>
    <w:p w14:paraId="6E0F46CE" w14:textId="6820463D" w:rsidR="009D44AB" w:rsidRDefault="009D44AB" w:rsidP="009D44AB">
      <w:pPr>
        <w:rPr>
          <w:szCs w:val="22"/>
        </w:rPr>
      </w:pPr>
      <w:r>
        <w:rPr>
          <w:szCs w:val="22"/>
        </w:rPr>
        <w:t>Helen Hay Whitney Foundation</w:t>
      </w:r>
      <w:r>
        <w:rPr>
          <w:szCs w:val="22"/>
        </w:rPr>
        <w:tab/>
      </w:r>
      <w:r>
        <w:rPr>
          <w:szCs w:val="22"/>
        </w:rPr>
        <w:tab/>
      </w:r>
      <w:r>
        <w:rPr>
          <w:szCs w:val="22"/>
        </w:rPr>
        <w:tab/>
      </w:r>
      <w:r>
        <w:rPr>
          <w:szCs w:val="22"/>
        </w:rPr>
        <w:tab/>
      </w:r>
      <w:r>
        <w:rPr>
          <w:szCs w:val="22"/>
        </w:rPr>
        <w:tab/>
      </w:r>
      <w:r>
        <w:rPr>
          <w:szCs w:val="22"/>
        </w:rPr>
        <w:tab/>
      </w:r>
      <w:r>
        <w:rPr>
          <w:szCs w:val="22"/>
        </w:rPr>
        <w:tab/>
        <w:t>DuPage (PI)</w:t>
      </w:r>
      <w:r>
        <w:rPr>
          <w:szCs w:val="22"/>
        </w:rPr>
        <w:tab/>
      </w:r>
      <w:r>
        <w:rPr>
          <w:szCs w:val="22"/>
        </w:rPr>
        <w:tab/>
      </w:r>
      <w:r>
        <w:rPr>
          <w:szCs w:val="22"/>
        </w:rPr>
        <w:tab/>
      </w:r>
      <w:r>
        <w:rPr>
          <w:szCs w:val="22"/>
        </w:rPr>
        <w:tab/>
      </w:r>
      <w:r>
        <w:rPr>
          <w:szCs w:val="22"/>
        </w:rPr>
        <w:tab/>
        <w:t>05/01/13-04/30/16</w:t>
      </w:r>
    </w:p>
    <w:p w14:paraId="5B1C4F6F" w14:textId="78331DD6" w:rsidR="009D44AB" w:rsidRPr="009D44AB" w:rsidRDefault="009D44AB" w:rsidP="009D44AB">
      <w:r w:rsidRPr="009D44AB">
        <w:t>Temporal dissection of Ezh2 activity in regulatory T cell plasticity and function</w:t>
      </w:r>
    </w:p>
    <w:p w14:paraId="5C0C88CF" w14:textId="5911EB26" w:rsidR="009D44AB" w:rsidRDefault="009D44AB" w:rsidP="009D44AB">
      <w:r w:rsidRPr="009D44AB">
        <w:t xml:space="preserve">The goal of this research fellowship is to examine how Ezh2 activity controls the fate and plasticity of </w:t>
      </w:r>
      <w:proofErr w:type="spellStart"/>
      <w:r w:rsidRPr="009D44AB">
        <w:t>T</w:t>
      </w:r>
      <w:r w:rsidRPr="009D44AB">
        <w:rPr>
          <w:vertAlign w:val="subscript"/>
        </w:rPr>
        <w:t>regs</w:t>
      </w:r>
      <w:proofErr w:type="spellEnd"/>
      <w:r w:rsidRPr="009D44AB">
        <w:t xml:space="preserve"> during different stages of </w:t>
      </w:r>
      <w:proofErr w:type="spellStart"/>
      <w:r w:rsidRPr="009D44AB">
        <w:t>T</w:t>
      </w:r>
      <w:r w:rsidRPr="009D44AB">
        <w:rPr>
          <w:vertAlign w:val="subscript"/>
        </w:rPr>
        <w:t>reg</w:t>
      </w:r>
      <w:proofErr w:type="spellEnd"/>
      <w:r w:rsidRPr="009D44AB">
        <w:t xml:space="preserve"> development and function.</w:t>
      </w:r>
    </w:p>
    <w:p w14:paraId="1F76E52D" w14:textId="40DC4507" w:rsidR="009D44AB" w:rsidRPr="009D44AB" w:rsidRDefault="009D44AB" w:rsidP="009D44AB">
      <w:pPr>
        <w:rPr>
          <w:szCs w:val="22"/>
        </w:rPr>
      </w:pPr>
      <w:r>
        <w:rPr>
          <w:szCs w:val="22"/>
        </w:rPr>
        <w:t>Role: PI</w:t>
      </w:r>
      <w:bookmarkStart w:id="0" w:name="_GoBack"/>
      <w:bookmarkEnd w:id="0"/>
    </w:p>
    <w:sectPr w:rsidR="009D44AB" w:rsidRPr="009D44AB" w:rsidSect="003B7A89">
      <w:footerReference w:type="even" r:id="rId12"/>
      <w:footerReference w:type="default" r:id="rId13"/>
      <w:type w:val="continuous"/>
      <w:pgSz w:w="12240" w:h="15840" w:code="1"/>
      <w:pgMar w:top="720" w:right="720" w:bottom="720" w:left="720" w:header="0" w:footer="72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2983D" w14:textId="77777777" w:rsidR="00532342" w:rsidRDefault="00532342">
      <w:r>
        <w:separator/>
      </w:r>
    </w:p>
  </w:endnote>
  <w:endnote w:type="continuationSeparator" w:id="0">
    <w:p w14:paraId="326253CC" w14:textId="77777777" w:rsidR="00532342" w:rsidRDefault="0053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Minion Pro SmBd">
    <w:panose1 w:val="020406030602010202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416E" w14:textId="77777777" w:rsidR="00532342" w:rsidRDefault="00532342" w:rsidP="003B7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3AC58" w14:textId="77777777" w:rsidR="00532342" w:rsidRDefault="00532342" w:rsidP="003B7A89">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BDD4" w14:textId="77777777" w:rsidR="00532342" w:rsidRPr="003B7A89" w:rsidRDefault="00532342" w:rsidP="003B7A89">
    <w:pPr>
      <w:pStyle w:val="Footer"/>
      <w:framePr w:wrap="around" w:vAnchor="text" w:hAnchor="margin" w:xAlign="right" w:y="1"/>
      <w:rPr>
        <w:rStyle w:val="PageNumber"/>
        <w:i/>
        <w:u w:val="none"/>
      </w:rPr>
    </w:pPr>
    <w:r w:rsidRPr="003B7A89">
      <w:rPr>
        <w:rStyle w:val="PageNumber"/>
        <w:i/>
        <w:u w:val="none"/>
      </w:rPr>
      <w:fldChar w:fldCharType="begin"/>
    </w:r>
    <w:r w:rsidRPr="003B7A89">
      <w:rPr>
        <w:rStyle w:val="PageNumber"/>
        <w:i/>
        <w:u w:val="none"/>
      </w:rPr>
      <w:instrText xml:space="preserve">PAGE  </w:instrText>
    </w:r>
    <w:r w:rsidRPr="003B7A89">
      <w:rPr>
        <w:rStyle w:val="PageNumber"/>
        <w:i/>
        <w:u w:val="none"/>
      </w:rPr>
      <w:fldChar w:fldCharType="separate"/>
    </w:r>
    <w:r w:rsidR="009D44AB">
      <w:rPr>
        <w:rStyle w:val="PageNumber"/>
        <w:i/>
        <w:noProof/>
        <w:u w:val="none"/>
      </w:rPr>
      <w:t>1</w:t>
    </w:r>
    <w:r w:rsidRPr="003B7A89">
      <w:rPr>
        <w:rStyle w:val="PageNumber"/>
        <w:i/>
        <w:u w:val="none"/>
      </w:rPr>
      <w:fldChar w:fldCharType="end"/>
    </w:r>
  </w:p>
  <w:p w14:paraId="4DF5C554" w14:textId="7ED08294" w:rsidR="00532342" w:rsidRPr="003B7A89" w:rsidRDefault="00532342" w:rsidP="003B7A89">
    <w:pPr>
      <w:ind w:right="360"/>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8CF49" w14:textId="77777777" w:rsidR="00532342" w:rsidRDefault="00532342">
      <w:r>
        <w:separator/>
      </w:r>
    </w:p>
  </w:footnote>
  <w:footnote w:type="continuationSeparator" w:id="0">
    <w:p w14:paraId="7E08A973" w14:textId="77777777" w:rsidR="00532342" w:rsidRDefault="00532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074F36"/>
    <w:multiLevelType w:val="hybridMultilevel"/>
    <w:tmpl w:val="13E22ED6"/>
    <w:lvl w:ilvl="0" w:tplc="485A280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1C3E231C"/>
    <w:multiLevelType w:val="hybridMultilevel"/>
    <w:tmpl w:val="C1CC273E"/>
    <w:lvl w:ilvl="0" w:tplc="B68E091C">
      <w:start w:val="1"/>
      <w:numFmt w:val="lowerLetter"/>
      <w:lvlText w:val="%1."/>
      <w:lvlJc w:val="left"/>
      <w:pPr>
        <w:ind w:left="1080" w:hanging="360"/>
      </w:pPr>
      <w:rPr>
        <w:rFont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E3686B"/>
    <w:multiLevelType w:val="hybridMultilevel"/>
    <w:tmpl w:val="185E3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57607A"/>
    <w:multiLevelType w:val="hybridMultilevel"/>
    <w:tmpl w:val="7D6C1EE6"/>
    <w:lvl w:ilvl="0" w:tplc="B68E09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817450"/>
    <w:multiLevelType w:val="hybridMultilevel"/>
    <w:tmpl w:val="C1CC273E"/>
    <w:lvl w:ilvl="0" w:tplc="B68E091C">
      <w:start w:val="1"/>
      <w:numFmt w:val="lowerLetter"/>
      <w:lvlText w:val="%1."/>
      <w:lvlJc w:val="left"/>
      <w:pPr>
        <w:ind w:left="1080" w:hanging="360"/>
      </w:pPr>
      <w:rPr>
        <w:rFont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5F603050"/>
    <w:multiLevelType w:val="hybridMultilevel"/>
    <w:tmpl w:val="7D6C1EE6"/>
    <w:lvl w:ilvl="0" w:tplc="B68E09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A2321C"/>
    <w:multiLevelType w:val="hybridMultilevel"/>
    <w:tmpl w:val="7BA4B9B8"/>
    <w:lvl w:ilvl="0" w:tplc="2594F53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nsid w:val="768B7A63"/>
    <w:multiLevelType w:val="hybridMultilevel"/>
    <w:tmpl w:val="7D6C1EE6"/>
    <w:lvl w:ilvl="0" w:tplc="B68E09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2"/>
  </w:num>
  <w:num w:numId="14">
    <w:abstractNumId w:val="23"/>
  </w:num>
  <w:num w:numId="15">
    <w:abstractNumId w:val="20"/>
  </w:num>
  <w:num w:numId="16">
    <w:abstractNumId w:val="22"/>
  </w:num>
  <w:num w:numId="17">
    <w:abstractNumId w:val="10"/>
  </w:num>
  <w:num w:numId="18">
    <w:abstractNumId w:val="16"/>
  </w:num>
  <w:num w:numId="19">
    <w:abstractNumId w:val="11"/>
  </w:num>
  <w:num w:numId="20">
    <w:abstractNumId w:val="14"/>
  </w:num>
  <w:num w:numId="21">
    <w:abstractNumId w:val="21"/>
  </w:num>
  <w:num w:numId="22">
    <w:abstractNumId w:val="17"/>
  </w:num>
  <w:num w:numId="23">
    <w:abstractNumId w:val="13"/>
  </w:num>
  <w:num w:numId="24">
    <w:abstractNumId w:val="15"/>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36ED8"/>
    <w:rsid w:val="00067621"/>
    <w:rsid w:val="000A6EBD"/>
    <w:rsid w:val="000F1A66"/>
    <w:rsid w:val="00122EB3"/>
    <w:rsid w:val="00132CA6"/>
    <w:rsid w:val="00137C24"/>
    <w:rsid w:val="0014571A"/>
    <w:rsid w:val="00170D87"/>
    <w:rsid w:val="00177D49"/>
    <w:rsid w:val="001F108D"/>
    <w:rsid w:val="00215CA3"/>
    <w:rsid w:val="0022536E"/>
    <w:rsid w:val="00244BE5"/>
    <w:rsid w:val="0028051C"/>
    <w:rsid w:val="002A754D"/>
    <w:rsid w:val="002D7520"/>
    <w:rsid w:val="002E5125"/>
    <w:rsid w:val="00321A19"/>
    <w:rsid w:val="0035045F"/>
    <w:rsid w:val="0037667F"/>
    <w:rsid w:val="00382AB6"/>
    <w:rsid w:val="00383712"/>
    <w:rsid w:val="00387B93"/>
    <w:rsid w:val="00392BEC"/>
    <w:rsid w:val="003A2DC5"/>
    <w:rsid w:val="003B724E"/>
    <w:rsid w:val="003B7A89"/>
    <w:rsid w:val="003C2647"/>
    <w:rsid w:val="003C62D6"/>
    <w:rsid w:val="003D2399"/>
    <w:rsid w:val="003F6A45"/>
    <w:rsid w:val="00426598"/>
    <w:rsid w:val="00432346"/>
    <w:rsid w:val="00433634"/>
    <w:rsid w:val="00447F3A"/>
    <w:rsid w:val="00473415"/>
    <w:rsid w:val="004759D9"/>
    <w:rsid w:val="0049068A"/>
    <w:rsid w:val="004A3FC8"/>
    <w:rsid w:val="00503B57"/>
    <w:rsid w:val="005145BB"/>
    <w:rsid w:val="00517BFD"/>
    <w:rsid w:val="00532342"/>
    <w:rsid w:val="0054471F"/>
    <w:rsid w:val="00546D35"/>
    <w:rsid w:val="00547AC9"/>
    <w:rsid w:val="00553201"/>
    <w:rsid w:val="00592740"/>
    <w:rsid w:val="005A7446"/>
    <w:rsid w:val="005C2BDD"/>
    <w:rsid w:val="005C47A8"/>
    <w:rsid w:val="005E406E"/>
    <w:rsid w:val="005F5F51"/>
    <w:rsid w:val="00601C69"/>
    <w:rsid w:val="00616BCC"/>
    <w:rsid w:val="00622C99"/>
    <w:rsid w:val="00624261"/>
    <w:rsid w:val="00646AF9"/>
    <w:rsid w:val="006609B6"/>
    <w:rsid w:val="0067384D"/>
    <w:rsid w:val="0068699D"/>
    <w:rsid w:val="006A353C"/>
    <w:rsid w:val="006A56FC"/>
    <w:rsid w:val="006B2D1C"/>
    <w:rsid w:val="006C1E1F"/>
    <w:rsid w:val="006D5C9A"/>
    <w:rsid w:val="007050F5"/>
    <w:rsid w:val="0071140F"/>
    <w:rsid w:val="00722C8F"/>
    <w:rsid w:val="00781234"/>
    <w:rsid w:val="00792AA1"/>
    <w:rsid w:val="007B7AF3"/>
    <w:rsid w:val="008073EB"/>
    <w:rsid w:val="00843027"/>
    <w:rsid w:val="00864AC9"/>
    <w:rsid w:val="0087232A"/>
    <w:rsid w:val="00874EBC"/>
    <w:rsid w:val="00877B0F"/>
    <w:rsid w:val="008F4999"/>
    <w:rsid w:val="008F59FC"/>
    <w:rsid w:val="00900264"/>
    <w:rsid w:val="009211D3"/>
    <w:rsid w:val="009216CA"/>
    <w:rsid w:val="00934124"/>
    <w:rsid w:val="00952A27"/>
    <w:rsid w:val="00961313"/>
    <w:rsid w:val="009D44AB"/>
    <w:rsid w:val="009D6A36"/>
    <w:rsid w:val="009D7E97"/>
    <w:rsid w:val="009E52CA"/>
    <w:rsid w:val="009F72E5"/>
    <w:rsid w:val="00A04942"/>
    <w:rsid w:val="00A04B52"/>
    <w:rsid w:val="00A1469B"/>
    <w:rsid w:val="00A14EF5"/>
    <w:rsid w:val="00A26D0F"/>
    <w:rsid w:val="00A42D9B"/>
    <w:rsid w:val="00A7514C"/>
    <w:rsid w:val="00A8122C"/>
    <w:rsid w:val="00A83312"/>
    <w:rsid w:val="00AE41C4"/>
    <w:rsid w:val="00AE4F35"/>
    <w:rsid w:val="00B00C6B"/>
    <w:rsid w:val="00B1189D"/>
    <w:rsid w:val="00BF7F65"/>
    <w:rsid w:val="00C05C55"/>
    <w:rsid w:val="00C076C6"/>
    <w:rsid w:val="00C137DA"/>
    <w:rsid w:val="00C3113F"/>
    <w:rsid w:val="00C313FF"/>
    <w:rsid w:val="00C4536F"/>
    <w:rsid w:val="00C46ADA"/>
    <w:rsid w:val="00C85025"/>
    <w:rsid w:val="00C918BD"/>
    <w:rsid w:val="00CA680A"/>
    <w:rsid w:val="00CE0951"/>
    <w:rsid w:val="00CF68A2"/>
    <w:rsid w:val="00D3516E"/>
    <w:rsid w:val="00D679E5"/>
    <w:rsid w:val="00D74391"/>
    <w:rsid w:val="00D83360"/>
    <w:rsid w:val="00DA670D"/>
    <w:rsid w:val="00DB7B85"/>
    <w:rsid w:val="00DD31B4"/>
    <w:rsid w:val="00DF7645"/>
    <w:rsid w:val="00E127A1"/>
    <w:rsid w:val="00E3349A"/>
    <w:rsid w:val="00E355C2"/>
    <w:rsid w:val="00E53B95"/>
    <w:rsid w:val="00E67A05"/>
    <w:rsid w:val="00E74AB7"/>
    <w:rsid w:val="00E81FE1"/>
    <w:rsid w:val="00E90203"/>
    <w:rsid w:val="00E92822"/>
    <w:rsid w:val="00EA0405"/>
    <w:rsid w:val="00EF4C32"/>
    <w:rsid w:val="00EF69CD"/>
    <w:rsid w:val="00F02126"/>
    <w:rsid w:val="00F07AB3"/>
    <w:rsid w:val="00F262AB"/>
    <w:rsid w:val="00F4249F"/>
    <w:rsid w:val="00F7284D"/>
    <w:rsid w:val="00F77B57"/>
    <w:rsid w:val="00FA00C6"/>
    <w:rsid w:val="00FF02D0"/>
    <w:rsid w:val="00FF1D5B"/>
    <w:rsid w:val="00FF5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rsid w:val="00392BEC"/>
    <w:pPr>
      <w:spacing w:after="120"/>
    </w:pPr>
  </w:style>
  <w:style w:type="character" w:customStyle="1" w:styleId="BodyTextChar">
    <w:name w:val="Body Text Char"/>
    <w:basedOn w:val="DefaultParagraphFont"/>
    <w:link w:val="BodyText"/>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character" w:styleId="FollowedHyperlink">
    <w:name w:val="FollowedHyperlink"/>
    <w:basedOn w:val="DefaultParagraphFont"/>
    <w:rsid w:val="00961313"/>
    <w:rPr>
      <w:color w:val="954F72" w:themeColor="followedHyperlink"/>
      <w:u w:val="single"/>
    </w:rPr>
  </w:style>
  <w:style w:type="paragraph" w:styleId="ListParagraph">
    <w:name w:val="List Paragraph"/>
    <w:basedOn w:val="Normal"/>
    <w:uiPriority w:val="34"/>
    <w:qFormat/>
    <w:rsid w:val="00961313"/>
    <w:pPr>
      <w:ind w:left="720"/>
      <w:contextualSpacing/>
    </w:pPr>
  </w:style>
  <w:style w:type="paragraph" w:customStyle="1" w:styleId="FormFieldCaption1">
    <w:name w:val="Form Field Caption1"/>
    <w:basedOn w:val="FormFieldCaption"/>
    <w:qFormat/>
    <w:rsid w:val="00AE4F35"/>
    <w:pPr>
      <w:spacing w:after="160"/>
    </w:pPr>
  </w:style>
  <w:style w:type="paragraph" w:styleId="Title">
    <w:name w:val="Title"/>
    <w:basedOn w:val="Normal"/>
    <w:next w:val="Normal"/>
    <w:link w:val="TitleChar"/>
    <w:qFormat/>
    <w:rsid w:val="00AE4F35"/>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AE4F35"/>
    <w:rPr>
      <w:rFonts w:ascii="Arial" w:hAnsi="Arial" w:cs="Arial"/>
      <w:b/>
      <w:bCs/>
      <w:sz w:val="22"/>
      <w:szCs w:val="22"/>
    </w:rPr>
  </w:style>
  <w:style w:type="paragraph" w:styleId="Footer">
    <w:name w:val="footer"/>
    <w:basedOn w:val="Normal"/>
    <w:link w:val="FooterChar"/>
    <w:rsid w:val="003B7A89"/>
    <w:pPr>
      <w:tabs>
        <w:tab w:val="center" w:pos="4320"/>
        <w:tab w:val="right" w:pos="8640"/>
      </w:tabs>
    </w:pPr>
  </w:style>
  <w:style w:type="character" w:customStyle="1" w:styleId="FooterChar">
    <w:name w:val="Footer Char"/>
    <w:basedOn w:val="DefaultParagraphFont"/>
    <w:link w:val="Footer"/>
    <w:rsid w:val="003B7A89"/>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F7284D"/>
    <w:pP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392BEC"/>
    <w:pPr>
      <w:keepNext/>
      <w:spacing w:before="360" w:after="120"/>
      <w:outlineLvl w:val="0"/>
    </w:pPr>
    <w:rPr>
      <w:b/>
    </w:rPr>
  </w:style>
  <w:style w:type="character" w:customStyle="1" w:styleId="SubtitleChar">
    <w:name w:val="Subtitle Char"/>
    <w:basedOn w:val="DefaultParagraphFont"/>
    <w:link w:val="Subtitle"/>
    <w:rsid w:val="00392BEC"/>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392BEC"/>
    <w:pPr>
      <w:spacing w:before="240" w:after="0"/>
      <w:outlineLvl w:val="1"/>
    </w:pPr>
    <w:rPr>
      <w:bCs/>
      <w:szCs w:val="20"/>
      <w:u w:val="single"/>
    </w:rPr>
  </w:style>
  <w:style w:type="paragraph" w:customStyle="1" w:styleId="OMBInfo">
    <w:name w:val="OMB Info"/>
    <w:basedOn w:val="Normal"/>
    <w:qFormat/>
    <w:rsid w:val="00321A19"/>
    <w:pPr>
      <w:spacing w:after="120"/>
      <w:jc w:val="right"/>
    </w:pPr>
    <w:rPr>
      <w:sz w:val="16"/>
    </w:rPr>
  </w:style>
  <w:style w:type="paragraph" w:customStyle="1" w:styleId="DataField">
    <w:name w:val="Data Field"/>
    <w:rsid w:val="00FF02D0"/>
    <w:pPr>
      <w:widowControl w:val="0"/>
    </w:pPr>
    <w:rPr>
      <w:rFonts w:ascii="Arial" w:hAnsi="Arial" w:cs="Arial"/>
      <w:sz w:val="22"/>
      <w:szCs w:val="22"/>
    </w:rPr>
  </w:style>
  <w:style w:type="paragraph" w:customStyle="1" w:styleId="FormFieldCaption10pt">
    <w:name w:val="Form Field Caption 10pt"/>
    <w:basedOn w:val="Normal"/>
    <w:rsid w:val="00FF02D0"/>
    <w:rPr>
      <w:sz w:val="20"/>
      <w:szCs w:val="20"/>
    </w:rPr>
  </w:style>
  <w:style w:type="paragraph" w:customStyle="1" w:styleId="DataField10pt">
    <w:name w:val="Data Field 10pt"/>
    <w:rsid w:val="00FF02D0"/>
    <w:pPr>
      <w:widowControl w:val="0"/>
    </w:pPr>
    <w:rPr>
      <w:rFonts w:ascii="Arial" w:hAnsi="Arial"/>
    </w:rPr>
  </w:style>
  <w:style w:type="paragraph" w:styleId="BodyText">
    <w:name w:val="Body Text"/>
    <w:basedOn w:val="Normal"/>
    <w:link w:val="BodyTextChar"/>
    <w:rsid w:val="00392BEC"/>
    <w:pPr>
      <w:spacing w:after="120"/>
    </w:pPr>
  </w:style>
  <w:style w:type="character" w:customStyle="1" w:styleId="BodyTextChar">
    <w:name w:val="Body Text Char"/>
    <w:basedOn w:val="DefaultParagraphFont"/>
    <w:link w:val="BodyText"/>
    <w:rsid w:val="00392BEC"/>
    <w:rPr>
      <w:rFonts w:ascii="Arial" w:hAnsi="Arial"/>
      <w:sz w:val="22"/>
      <w:szCs w:val="24"/>
    </w:rPr>
  </w:style>
  <w:style w:type="paragraph" w:styleId="PlainText">
    <w:name w:val="Plain Text"/>
    <w:basedOn w:val="Normal"/>
    <w:link w:val="PlainTextChar"/>
    <w:rsid w:val="00FF02D0"/>
    <w:pPr>
      <w:autoSpaceDE/>
      <w:autoSpaceDN/>
      <w:spacing w:before="120" w:after="120"/>
    </w:pPr>
    <w:rPr>
      <w:szCs w:val="22"/>
    </w:rPr>
  </w:style>
  <w:style w:type="character" w:customStyle="1" w:styleId="PlainTextChar">
    <w:name w:val="Plain Text Char"/>
    <w:basedOn w:val="DefaultParagraphFont"/>
    <w:link w:val="PlainText"/>
    <w:rsid w:val="00FF02D0"/>
    <w:rPr>
      <w:rFonts w:ascii="Arial" w:hAnsi="Arial"/>
      <w:sz w:val="22"/>
      <w:szCs w:val="22"/>
    </w:rPr>
  </w:style>
  <w:style w:type="paragraph" w:customStyle="1" w:styleId="DataFieldSingle11pt">
    <w:name w:val="Data Field Single11pt"/>
    <w:basedOn w:val="Normal"/>
    <w:rsid w:val="00FF02D0"/>
    <w:pPr>
      <w:tabs>
        <w:tab w:val="center" w:pos="5490"/>
        <w:tab w:val="right" w:pos="10980"/>
      </w:tabs>
      <w:spacing w:line="300" w:lineRule="exact"/>
    </w:pPr>
    <w:rPr>
      <w:rFonts w:cs="Arial"/>
      <w:noProof/>
      <w:szCs w:val="16"/>
    </w:rPr>
  </w:style>
  <w:style w:type="paragraph" w:styleId="BalloonText">
    <w:name w:val="Balloon Text"/>
    <w:basedOn w:val="Normal"/>
    <w:link w:val="BalloonTextChar"/>
    <w:rsid w:val="00215CA3"/>
    <w:rPr>
      <w:rFonts w:ascii="Segoe UI" w:hAnsi="Segoe UI" w:cs="Segoe UI"/>
      <w:sz w:val="18"/>
      <w:szCs w:val="18"/>
    </w:rPr>
  </w:style>
  <w:style w:type="character" w:customStyle="1" w:styleId="BalloonTextChar">
    <w:name w:val="Balloon Text Char"/>
    <w:basedOn w:val="DefaultParagraphFont"/>
    <w:link w:val="BalloonText"/>
    <w:rsid w:val="00215CA3"/>
    <w:rPr>
      <w:rFonts w:ascii="Segoe UI" w:hAnsi="Segoe UI" w:cs="Segoe UI"/>
      <w:sz w:val="18"/>
      <w:szCs w:val="18"/>
    </w:rPr>
  </w:style>
  <w:style w:type="character" w:styleId="CommentReference">
    <w:name w:val="annotation reference"/>
    <w:basedOn w:val="DefaultParagraphFont"/>
    <w:rsid w:val="000F1A66"/>
    <w:rPr>
      <w:sz w:val="16"/>
      <w:szCs w:val="16"/>
    </w:rPr>
  </w:style>
  <w:style w:type="paragraph" w:styleId="CommentText">
    <w:name w:val="annotation text"/>
    <w:basedOn w:val="Normal"/>
    <w:link w:val="CommentTextChar"/>
    <w:rsid w:val="000F1A66"/>
    <w:rPr>
      <w:sz w:val="20"/>
      <w:szCs w:val="20"/>
    </w:rPr>
  </w:style>
  <w:style w:type="character" w:customStyle="1" w:styleId="CommentTextChar">
    <w:name w:val="Comment Text Char"/>
    <w:basedOn w:val="DefaultParagraphFont"/>
    <w:link w:val="CommentText"/>
    <w:rsid w:val="000F1A66"/>
    <w:rPr>
      <w:rFonts w:ascii="Arial" w:hAnsi="Arial"/>
    </w:rPr>
  </w:style>
  <w:style w:type="paragraph" w:styleId="CommentSubject">
    <w:name w:val="annotation subject"/>
    <w:basedOn w:val="CommentText"/>
    <w:next w:val="CommentText"/>
    <w:link w:val="CommentSubjectChar"/>
    <w:rsid w:val="000F1A66"/>
    <w:rPr>
      <w:b/>
      <w:bCs/>
    </w:rPr>
  </w:style>
  <w:style w:type="character" w:customStyle="1" w:styleId="CommentSubjectChar">
    <w:name w:val="Comment Subject Char"/>
    <w:basedOn w:val="CommentTextChar"/>
    <w:link w:val="CommentSubject"/>
    <w:rsid w:val="000F1A66"/>
    <w:rPr>
      <w:rFonts w:ascii="Arial" w:hAnsi="Arial"/>
      <w:b/>
      <w:bCs/>
    </w:rPr>
  </w:style>
  <w:style w:type="character" w:styleId="FollowedHyperlink">
    <w:name w:val="FollowedHyperlink"/>
    <w:basedOn w:val="DefaultParagraphFont"/>
    <w:rsid w:val="00961313"/>
    <w:rPr>
      <w:color w:val="954F72" w:themeColor="followedHyperlink"/>
      <w:u w:val="single"/>
    </w:rPr>
  </w:style>
  <w:style w:type="paragraph" w:styleId="ListParagraph">
    <w:name w:val="List Paragraph"/>
    <w:basedOn w:val="Normal"/>
    <w:uiPriority w:val="34"/>
    <w:qFormat/>
    <w:rsid w:val="00961313"/>
    <w:pPr>
      <w:ind w:left="720"/>
      <w:contextualSpacing/>
    </w:pPr>
  </w:style>
  <w:style w:type="paragraph" w:customStyle="1" w:styleId="FormFieldCaption1">
    <w:name w:val="Form Field Caption1"/>
    <w:basedOn w:val="FormFieldCaption"/>
    <w:qFormat/>
    <w:rsid w:val="00AE4F35"/>
    <w:pPr>
      <w:spacing w:after="160"/>
    </w:pPr>
  </w:style>
  <w:style w:type="paragraph" w:styleId="Title">
    <w:name w:val="Title"/>
    <w:basedOn w:val="Normal"/>
    <w:next w:val="Normal"/>
    <w:link w:val="TitleChar"/>
    <w:qFormat/>
    <w:rsid w:val="00AE4F35"/>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AE4F35"/>
    <w:rPr>
      <w:rFonts w:ascii="Arial" w:hAnsi="Arial" w:cs="Arial"/>
      <w:b/>
      <w:bCs/>
      <w:sz w:val="22"/>
      <w:szCs w:val="22"/>
    </w:rPr>
  </w:style>
  <w:style w:type="paragraph" w:styleId="Footer">
    <w:name w:val="footer"/>
    <w:basedOn w:val="Normal"/>
    <w:link w:val="FooterChar"/>
    <w:rsid w:val="003B7A89"/>
    <w:pPr>
      <w:tabs>
        <w:tab w:val="center" w:pos="4320"/>
        <w:tab w:val="right" w:pos="8640"/>
      </w:tabs>
    </w:pPr>
  </w:style>
  <w:style w:type="character" w:customStyle="1" w:styleId="FooterChar">
    <w:name w:val="Footer Char"/>
    <w:basedOn w:val="DefaultParagraphFont"/>
    <w:link w:val="Footer"/>
    <w:rsid w:val="003B7A8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46957">
      <w:bodyDiv w:val="1"/>
      <w:marLeft w:val="0"/>
      <w:marRight w:val="0"/>
      <w:marTop w:val="0"/>
      <w:marBottom w:val="0"/>
      <w:divBdr>
        <w:top w:val="none" w:sz="0" w:space="0" w:color="auto"/>
        <w:left w:val="none" w:sz="0" w:space="0" w:color="auto"/>
        <w:bottom w:val="none" w:sz="0" w:space="0" w:color="auto"/>
        <w:right w:val="none" w:sz="0" w:space="0" w:color="auto"/>
      </w:divBdr>
      <w:divsChild>
        <w:div w:id="728261709">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sites/myncbi/1HMNmEHlLD65G/bibliography/49721635/public/?sort=date&amp;direction=ascendin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faacfcd8-46e0-4e4d-8d4e-89dd39af1ec4">Final</File_x0020_Status>
    <Category xmlns="faacfcd8-46e0-4e4d-8d4e-89dd39af1ec4">Master</Category>
    <Doc_x0020_Group xmlns="faacfcd8-46e0-4e4d-8d4e-89dd39af1ec4">Forms C1</Doc_x0020_Group>
    <Version_x0020_Comments xmlns="faacfcd8-46e0-4e4d-8d4e-89dd39af1e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96B5EFF28354BA23EB4A678AD1AA2" ma:contentTypeVersion="9" ma:contentTypeDescription="Create a new document." ma:contentTypeScope="" ma:versionID="4b73496ab3b80c921edd41e96f446fd3">
  <xsd:schema xmlns:xsd="http://www.w3.org/2001/XMLSchema" xmlns:xs="http://www.w3.org/2001/XMLSchema" xmlns:p="http://schemas.microsoft.com/office/2006/metadata/properties" xmlns:ns2="faacfcd8-46e0-4e4d-8d4e-89dd39af1ec4" targetNamespace="http://schemas.microsoft.com/office/2006/metadata/properties" ma:root="true" ma:fieldsID="8ed47fcbc990642aa5eaeb2391c28f43" ns2:_="">
    <xsd:import namespace="faacfcd8-46e0-4e4d-8d4e-89dd39af1ec4"/>
    <xsd:element name="properties">
      <xsd:complexType>
        <xsd:sequence>
          <xsd:element name="documentManagement">
            <xsd:complexType>
              <xsd:all>
                <xsd:element ref="ns2:Version_x0020_Comments" minOccurs="0"/>
                <xsd:element ref="ns2:Doc_x0020_Group" minOccurs="0"/>
                <xsd:element ref="ns2:File_x0020_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fcd8-46e0-4e4d-8d4e-89dd39af1ec4" elementFormDefault="qualified">
    <xsd:import namespace="http://schemas.microsoft.com/office/2006/documentManagement/types"/>
    <xsd:import namespace="http://schemas.microsoft.com/office/infopath/2007/PartnerControls"/>
    <xsd:element name="Version_x0020_Comments" ma:index="8" nillable="true" ma:displayName="Version Comments" ma:description="Include file date and description of major revisions to this version." ma:internalName="Version_x0020_Comments">
      <xsd:simpleType>
        <xsd:restriction base="dms:Note">
          <xsd:maxLength value="255"/>
        </xsd:restriction>
      </xsd:simpleType>
    </xsd:element>
    <xsd:element name="Doc_x0020_Group" ma:index="9" nillable="true" ma:displayName="Doc Group" ma:default="Forms C1" ma:description="Name to group/sort/filter by form sets. Use Adobe Form Version." ma:format="Dropdown" ma:internalName="Doc_x0020_Group">
      <xsd:simpleType>
        <xsd:union memberTypes="dms:Text">
          <xsd:simpleType>
            <xsd:restriction base="dms:Choice">
              <xsd:enumeration value="Forms C1"/>
              <xsd:enumeration value="Forms C"/>
            </xsd:restriction>
          </xsd:simpleType>
        </xsd:union>
      </xsd:simpleType>
    </xsd:element>
    <xsd:element name="File_x0020_Status" ma:index="10" nillable="true" ma:displayName="File Status"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11" nillable="true" ma:displayName="Category" ma:description="Used to group related files together to act as a &quot;folder.&quot;" ma:format="Dropdown" ma:internalName="Category">
      <xsd:simpleType>
        <xsd:restriction base="dms:Choice">
          <xsd:enumeration value="Master"/>
          <xsd:enumeration value="Posted"/>
          <xsd:enumeration value="WIP"/>
          <xsd:enumeration value="Deferred"/>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purl.org/dc/dcmitype/"/>
    <ds:schemaRef ds:uri="http://www.w3.org/XML/1998/namespace"/>
    <ds:schemaRef ds:uri="http://purl.org/dc/terms/"/>
    <ds:schemaRef ds:uri="faacfcd8-46e0-4e4d-8d4e-89dd39af1ec4"/>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94B8A072-98E3-43A9-A6FA-11D8F9116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fcd8-46e0-4e4d-8d4e-89dd39af1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2038</Words>
  <Characters>11619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OMB No. 0925-0001 (Rev. 08/12), Biographical Sketch Format Page</vt:lpstr>
    </vt:vector>
  </TitlesOfParts>
  <Company>DHHS/PHS/NIH</Company>
  <LinksUpToDate>false</LinksUpToDate>
  <CharactersWithSpaces>13630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Biographical Sketch Format Page</dc:title>
  <dc:subject>DHHS, Public Health Service Grant Application</dc:subject>
  <dc:creator>Office of Extramural Programs</dc:creator>
  <cp:keywords>PHS Grant Application, 0925-0001/0002, (Rev. 08/12), Biographical Sketch Format Page</cp:keywords>
  <cp:lastModifiedBy>Michel DuPage</cp:lastModifiedBy>
  <cp:revision>2</cp:revision>
  <cp:lastPrinted>2011-03-11T19:43:00Z</cp:lastPrinted>
  <dcterms:created xsi:type="dcterms:W3CDTF">2017-08-30T16:20:00Z</dcterms:created>
  <dcterms:modified xsi:type="dcterms:W3CDTF">2017-08-30T16:20:00Z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0x01010049296B5EFF28354BA23EB4A678AD1AA2</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